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A7FF"/>
          <w:sz w:val="26"/>
        </w:rPr>
        <w:t>11. MODUL</w:t>
      </w:r>
    </w:p>
    <w:p>
      <w:pPr>
        <w:pStyle w:val="Title"/>
        <w:jc w:val="center"/>
      </w:pPr>
      <w:r>
        <w:t>Tanári segédanyag – Privilege Escalation</w:t>
      </w:r>
    </w:p>
    <w:p>
      <w:pPr>
        <w:jc w:val="center"/>
      </w:pPr>
      <w:r>
        <w:rPr>
          <w:color w:val="4C6783"/>
          <w:sz w:val="22"/>
        </w:rPr>
        <w:t>Linux és Windows jogosultságnövelés • enumeráció • bizonyíték • hardening • retest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D8EE"/>
          <w:left w:val="single" w:sz="6" w:space="0" w:color="BFD8EE"/>
          <w:bottom w:val="single" w:sz="6" w:space="0" w:color="BFD8EE"/>
          <w:right w:val="single" w:sz="6" w:space="0" w:color="BFD8EE"/>
          <w:insideH w:val="single" w:sz="6" w:space="0" w:color="BFD8EE"/>
          <w:insideV w:val="single" w:sz="6" w:space="0" w:color="BFD8E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Célcsoport</w:t>
              <w:br/>
            </w:r>
            <w:r>
              <w:rPr>
                <w:sz w:val="17"/>
              </w:rPr>
              <w:t>13. évfolyam – rendszer- és alkalmazásüzemeltető technikus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Javasolt idő</w:t>
              <w:br/>
            </w:r>
            <w:r>
              <w:rPr>
                <w:sz w:val="17"/>
              </w:rPr>
              <w:t>10–12 tanóra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Módszer</w:t>
              <w:br/>
            </w:r>
            <w:r>
              <w:rPr>
                <w:sz w:val="17"/>
              </w:rPr>
              <w:t>kb. 25% elmélet / 75% gyakorlat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1. Modul célja és didaktikai fókusz</w:t>
      </w:r>
    </w:p>
    <w:p>
      <w:r>
        <w:t>A modul célja nem a kernel exploitok „vadászata”, hanem a hibás jogosultsági beállítások felismerése és javítása. A diákok alacsony jogosultságú, előre létrehozott laborfiókból indulnak, és minden esetben bizonyítékot gyűjtenek a javítás előtt és után.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CA7FF"/>
          <w:left w:val="single" w:sz="8" w:space="0" w:color="1CA7FF"/>
          <w:bottom w:val="single" w:sz="8" w:space="0" w:color="1CA7FF"/>
          <w:right w:val="single" w:sz="8" w:space="0" w:color="1CA7FF"/>
          <w:insideH w:val="single" w:sz="8" w:space="0" w:color="1CA7FF"/>
          <w:insideV w:val="single" w:sz="8" w:space="0" w:color="1CA7FF"/>
        </w:tblBorders>
      </w:tblPr>
      <w:tblGrid>
        <w:gridCol w:w="10368"/>
      </w:tblGrid>
      <w:tr>
        <w:tc>
          <w:tcPr>
            <w:tcW w:type="dxa" w:w="10368"/>
            <w:shd w:fill="EAF4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CA7FF"/>
                <w:sz w:val="20"/>
              </w:rPr>
              <w:t>Javasolt arány</w:t>
              <w:br/>
            </w:r>
            <w:r>
              <w:rPr>
                <w:sz w:val="19"/>
              </w:rPr>
              <w:t>2–3 tanóra elmélet és tanári bemutató, majd 7–9 tanóra labor. A kézi enumerációt mindig mutasd meg az automatizált PEASS előtt.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t>2. Előfeltételek</w:t>
      </w:r>
    </w:p>
    <w:p>
      <w:pPr>
        <w:pStyle w:val="ListBullet"/>
        <w:spacing w:after="40"/>
      </w:pPr>
      <w:r>
        <w:t>1–10. modul lényegi ismeretei: Linux alapok, Kali, felderítés, webbiztonság, hitelesítés, Wireshark, kontrollált exploitáció.</w:t>
      </w:r>
    </w:p>
    <w:p>
      <w:pPr>
        <w:pStyle w:val="ListBullet"/>
        <w:spacing w:after="40"/>
      </w:pPr>
      <w:r>
        <w:t>A diák tudjon VM snapshotot visszaállítani és parancskimenetet menteni.</w:t>
      </w:r>
    </w:p>
    <w:p>
      <w:pPr>
        <w:pStyle w:val="ListBullet"/>
        <w:spacing w:after="40"/>
      </w:pPr>
      <w:r>
        <w:t>Alap Windows PowerShell/CMD és Linux shell ismeret.</w:t>
      </w:r>
    </w:p>
    <w:p>
      <w:pPr>
        <w:pStyle w:val="ListBullet"/>
        <w:spacing w:after="40"/>
      </w:pPr>
      <w:r>
        <w:t>Cisco router/switch alapkonfiguráció, statikus routing és ACL ismeret – ezt nem tanítjuk újra, csak felhasználjuk.</w:t>
      </w:r>
    </w:p>
    <w:p>
      <w:pPr>
        <w:pStyle w:val="Heading1"/>
        <w:spacing w:before="160" w:after="100"/>
      </w:pPr>
      <w:r>
        <w:t>3. Javasolt teremfelosztás – 6 router + 6 switch + 16 PC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3F0"/>
          <w:left w:val="single" w:sz="6" w:space="0" w:color="D7E3F0"/>
          <w:bottom w:val="single" w:sz="6" w:space="0" w:color="D7E3F0"/>
          <w:right w:val="single" w:sz="6" w:space="0" w:color="D7E3F0"/>
          <w:insideH w:val="single" w:sz="6" w:space="0" w:color="D7E3F0"/>
          <w:insideV w:val="single" w:sz="6" w:space="0" w:color="D7E3F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Pod</w:t>
            </w:r>
          </w:p>
        </w:tc>
        <w:tc>
          <w:tcPr>
            <w:tcW w:type="dxa" w:w="2592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Eszközök</w:t>
            </w:r>
          </w:p>
        </w:tc>
        <w:tc>
          <w:tcPr>
            <w:tcW w:type="dxa" w:w="2592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PC-k</w:t>
            </w:r>
          </w:p>
        </w:tc>
        <w:tc>
          <w:tcPr>
            <w:tcW w:type="dxa" w:w="2592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Szerepek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R1 + R2, SW1 + SW2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PC1–PC5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Kali, observer, Debian target, Windows target, logger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R3 + R4, SW3 + SW4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PC6–PC10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Kali, observer, Debian target, Windows target, logger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R5 + R6, SW5 + SW6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PC11–PC15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Kali, observer, Debian target, Windows target, logger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Tanár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konzol/menedzsment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PC16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snapshotok, flag-ek, reset, ellenőrzés</w:t>
            </w:r>
          </w:p>
        </w:tc>
      </w:tr>
    </w:tbl>
    <w:p>
      <w:pPr>
        <w:pStyle w:val="Heading2"/>
        <w:spacing w:before="120" w:after="60"/>
      </w:pPr>
      <w:r>
        <w:t>3.1 Fizikai bekötés podonként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5C83"/>
          <w:left w:val="single" w:sz="6" w:space="0" w:color="1F5C83"/>
          <w:bottom w:val="single" w:sz="6" w:space="0" w:color="1F5C83"/>
          <w:right w:val="single" w:sz="6" w:space="0" w:color="1F5C83"/>
          <w:insideH w:val="single" w:sz="6" w:space="0" w:color="1F5C83"/>
          <w:insideV w:val="single" w:sz="6" w:space="0" w:color="1F5C83"/>
        </w:tblBorders>
      </w:tblPr>
      <w:tblGrid>
        <w:gridCol w:w="10368"/>
      </w:tblGrid>
      <w:tr>
        <w:tc>
          <w:tcPr>
            <w:tcW w:type="dxa" w:w="10368"/>
            <w:shd w:fill="0C1D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"/>
            </w:pPr>
            <w:r>
              <w:rPr>
                <w:rFonts w:ascii="Liberation Mono" w:hAnsi="Liberation Mono"/>
                <w:color w:val="E8F3FF"/>
                <w:sz w:val="17"/>
              </w:rPr>
              <w:t>Kali/observer ---- SW(attacker) ---- R(attacker) ==== R(target) ---- SW(target) ---- Debian target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 xml:space="preserve">                                                                    |               Windows target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 xml:space="preserve">                                                                    |               Logger/observer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A két router közötti link külön /30 tranzit hálózat. A podok fizikailag és logikailag ne legyenek összekötve.</w:t>
            </w:r>
          </w:p>
        </w:tc>
      </w:tr>
    </w:tbl>
    <w:p>
      <w:pPr>
        <w:pStyle w:val="Heading1"/>
        <w:spacing w:before="160" w:after="100"/>
      </w:pPr>
      <w:r>
        <w:t>4. Tanári biztonsági keretek</w:t>
      </w:r>
    </w:p>
    <w:p>
      <w:pPr>
        <w:pStyle w:val="ListBullet"/>
        <w:spacing w:after="40"/>
      </w:pPr>
      <w:r>
        <w:t>Minden célgép snapshotból induljon és a modul végén rollback történjen.</w:t>
      </w:r>
    </w:p>
    <w:p>
      <w:pPr>
        <w:pStyle w:val="ListBullet"/>
        <w:spacing w:after="40"/>
      </w:pPr>
      <w:r>
        <w:t>A céleszközök ne kapjanak internetelérést a labor idején; a PEASS fájlokat a tanár előre töltse le és helyi megosztásból adja át.</w:t>
      </w:r>
    </w:p>
    <w:p>
      <w:pPr>
        <w:pStyle w:val="ListBullet"/>
        <w:spacing w:after="40"/>
      </w:pPr>
      <w:r>
        <w:t>Ne használj ismeretlen kernel exploitot vagy éles malware-t. A laborok kontrollált konfigurációs hibákra épüljenek.</w:t>
      </w:r>
    </w:p>
    <w:p>
      <w:pPr>
        <w:pStyle w:val="ListBullet"/>
        <w:spacing w:after="40"/>
      </w:pPr>
      <w:r>
        <w:t>A bizonyítás flag másolásával, jogosultsági állapot kiírásával vagy naplóbejegyzéssel történjen – ne tartós backdoorral.</w:t>
      </w:r>
    </w:p>
    <w:p>
      <w:pPr>
        <w:pStyle w:val="ListBullet"/>
        <w:spacing w:after="40"/>
      </w:pPr>
      <w:r>
        <w:t>A tanár a laborkezdés előtt ellenőrizze, hogy a három pod IP-tartománya között nincs útvonal.</w:t>
      </w:r>
    </w:p>
    <w:p>
      <w:pPr>
        <w:pStyle w:val="Heading1"/>
        <w:spacing w:before="160" w:after="100"/>
      </w:pPr>
      <w:r>
        <w:t>5. Óravázlat – ajánlott ütemezés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3F0"/>
          <w:left w:val="single" w:sz="6" w:space="0" w:color="D7E3F0"/>
          <w:bottom w:val="single" w:sz="6" w:space="0" w:color="D7E3F0"/>
          <w:right w:val="single" w:sz="6" w:space="0" w:color="D7E3F0"/>
          <w:insideH w:val="single" w:sz="6" w:space="0" w:color="D7E3F0"/>
          <w:insideV w:val="single" w:sz="6" w:space="0" w:color="D7E3F0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Óra</w:t>
            </w:r>
          </w:p>
        </w:tc>
        <w:tc>
          <w:tcPr>
            <w:tcW w:type="dxa" w:w="3456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Téma</w:t>
            </w:r>
          </w:p>
        </w:tc>
        <w:tc>
          <w:tcPr>
            <w:tcW w:type="dxa" w:w="3456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Módszer</w:t>
            </w:r>
          </w:p>
        </w:tc>
      </w:tr>
      <w:tr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Privilege model, least privilege, vertikális/horizontális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PPT + élő demo</w:t>
            </w:r>
          </w:p>
        </w:tc>
      </w:tr>
      <w:tr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Linux kézi enumeráció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Tanári VM + közös parancsok</w:t>
            </w:r>
          </w:p>
        </w:tc>
      </w:tr>
      <w:tr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Windows kézi enumeráció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PowerShell/CMD demo</w:t>
            </w:r>
          </w:p>
        </w:tc>
      </w:tr>
      <w:tr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PEASS és találat-validálás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Páros munka</w:t>
            </w:r>
          </w:p>
        </w:tc>
      </w:tr>
      <w:tr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5–6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Linux laborok: cron/systemd, SUID/capabilities, hardening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Podok</w:t>
            </w:r>
          </w:p>
        </w:tc>
      </w:tr>
      <w:tr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7–8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Windows laborok: scheduled task/service ACL, hardening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Podok</w:t>
            </w:r>
          </w:p>
        </w:tc>
      </w:tr>
      <w:tr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Cisco containment + logging + retest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Élő eszköz</w:t>
            </w:r>
          </w:p>
        </w:tc>
      </w:tr>
      <w:tr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Mini CTF + jelentés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Csapatmunka</w:t>
            </w:r>
          </w:p>
        </w:tc>
      </w:tr>
      <w:tr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11–12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Tartalék / értékelés / ismétlés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Igény szerint</w:t>
            </w:r>
          </w:p>
        </w:tc>
      </w:tr>
    </w:tbl>
    <w:p>
      <w:pPr>
        <w:pStyle w:val="Heading1"/>
        <w:spacing w:before="160" w:after="100"/>
      </w:pPr>
      <w:r>
        <w:t>6. Tipikus félreértések és tanári kérdések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3F0"/>
          <w:left w:val="single" w:sz="6" w:space="0" w:color="D7E3F0"/>
          <w:bottom w:val="single" w:sz="6" w:space="0" w:color="D7E3F0"/>
          <w:right w:val="single" w:sz="6" w:space="0" w:color="D7E3F0"/>
          <w:insideH w:val="single" w:sz="6" w:space="0" w:color="D7E3F0"/>
          <w:insideV w:val="single" w:sz="6" w:space="0" w:color="D7E3F0"/>
        </w:tblBorders>
      </w:tblPr>
      <w:tblGrid>
        <w:gridCol w:w="5184"/>
        <w:gridCol w:w="5184"/>
      </w:tblGrid>
      <w:tr>
        <w:tc>
          <w:tcPr>
            <w:tcW w:type="dxa" w:w="518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Félreértés</w:t>
            </w:r>
          </w:p>
        </w:tc>
        <w:tc>
          <w:tcPr>
            <w:tcW w:type="dxa" w:w="518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Tanári irányítás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„LinPEAS piros = biztos exploit.”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Nem. Kérd a jogosultság, tulajdonos, futási kontextus és reprodukció kézi bizonyítását.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„UAC = privilege escalation.”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Az UAC egy védelmi/hozzájárulási mechanizmus; a modulban a tényleges jogosultsági kontextust vizsgáljuk.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„Minden SUID veszélyes.”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Nem. A kérdés az, hogy szükséges-e, auditált-e, és ad-e nem kívánt műveletet.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„Kernel exploit a legjobb megoldás.”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Oktatási és szakmai szempontból előbb a konfigurációs hibákat és a legkisebb hatású bizonyítást vizsgáljuk.</w:t>
            </w:r>
          </w:p>
        </w:tc>
      </w:tr>
    </w:tbl>
    <w:p>
      <w:pPr>
        <w:pStyle w:val="Heading1"/>
        <w:spacing w:before="160" w:after="100"/>
      </w:pPr>
      <w:r>
        <w:t>7. Értékelési javaslat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3F0"/>
          <w:left w:val="single" w:sz="6" w:space="0" w:color="D7E3F0"/>
          <w:bottom w:val="single" w:sz="6" w:space="0" w:color="D7E3F0"/>
          <w:right w:val="single" w:sz="6" w:space="0" w:color="D7E3F0"/>
          <w:insideH w:val="single" w:sz="6" w:space="0" w:color="D7E3F0"/>
          <w:insideV w:val="single" w:sz="6" w:space="0" w:color="D7E3F0"/>
        </w:tblBorders>
      </w:tblPr>
      <w:tblGrid>
        <w:gridCol w:w="5184"/>
        <w:gridCol w:w="5184"/>
      </w:tblGrid>
      <w:tr>
        <w:tc>
          <w:tcPr>
            <w:tcW w:type="dxa" w:w="518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</w:t>
            </w:r>
          </w:p>
        </w:tc>
        <w:tc>
          <w:tcPr>
            <w:tcW w:type="dxa" w:w="518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Súly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Laborfeladatok és bizonyítékok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50%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Hardening + retest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20%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Mini CTF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15%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Rövid teszt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10%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Jelentés minősége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5%</w:t>
            </w:r>
          </w:p>
        </w:tc>
      </w:tr>
    </w:tbl>
    <w:p>
      <w:pPr>
        <w:pStyle w:val="Heading1"/>
        <w:spacing w:before="160" w:after="100"/>
      </w:pPr>
      <w:r>
        <w:t>8. Források tanárnak</w:t>
      </w:r>
    </w:p>
    <w:p>
      <w:pPr>
        <w:pStyle w:val="ListBullet"/>
        <w:spacing w:after="40"/>
      </w:pPr>
      <w:r>
        <w:t>Linux Kernel docs: credentials, no_new_privs; Linux capabilities manual.</w:t>
      </w:r>
    </w:p>
    <w:p>
      <w:pPr>
        <w:pStyle w:val="ListBullet"/>
        <w:spacing w:after="40"/>
      </w:pPr>
      <w:r>
        <w:t>Microsoft Learn: UAC, Scheduled Tasks, service access rights.</w:t>
      </w:r>
    </w:p>
    <w:p>
      <w:pPr>
        <w:pStyle w:val="ListBullet"/>
        <w:spacing w:after="40"/>
      </w:pPr>
      <w:r>
        <w:t>PEASS-ng hivatalos GitHub release-ek; a tanár töltse le és ellenőrizze a release hash-t.</w:t>
      </w:r>
    </w:p>
    <w:p>
      <w:pPr>
        <w:pStyle w:val="ListBullet"/>
        <w:spacing w:after="40"/>
      </w:pPr>
      <w:r>
        <w:t>Kali Linux tools dokumentáció: unix-privesc-check és windows-privesc-check.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C829A"/>
        <w:sz w:val="16"/>
      </w:rPr>
      <w:t xml:space="preserve">Oktatási célú, izolált laborban használható tananyag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b/>
        <w:color w:val="1CA7FF"/>
        <w:sz w:val="16"/>
      </w:rPr>
      <w:t>ETIKUS HACKELÉS • 11. modul – Tanári segédanyag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/>
      <w:color w:val="1625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0714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1CA7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29C7B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b/>
      <w:color w:val="0714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Liberation Mono" w:hAnsi="Liberation Mono" w:eastAsia="Liberation Mono"/>
      <w:color w:val="DCEBF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