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" w:hAnsi="Noto Sans"/>
          <w:b/>
          <w:color w:val="148D86"/>
          <w:sz w:val="22"/>
        </w:rPr>
        <w:t>12. MODUL</w:t>
      </w:r>
    </w:p>
    <w:p>
      <w:pPr>
        <w:pStyle w:val="Title"/>
      </w:pPr>
      <w:r>
        <w:t>OSINT – nyílt forrású információgyűjtés</w:t>
      </w:r>
    </w:p>
    <w:p>
      <w:r>
        <w:rPr>
          <w:b/>
          <w:color w:val="287FA6"/>
        </w:rPr>
        <w:t>Források • DNS • webes lábnyom • metadata • SpiderFoot • validálás • jelentés</w:t>
      </w:r>
    </w:p>
    <w:p>
      <w:pPr>
        <w:pStyle w:val="Heading1"/>
      </w:pPr>
      <w:r>
        <w:t>1. Mi az OSINT?</w:t>
      </w:r>
    </w:p>
    <w:p>
      <w:r>
        <w:t>Az OSINT (Open Source Intelligence) nyilvánosan vagy jogszerűen hozzáférhető információk célhoz kötött gyűjtése, ellenőrzése és összekapcsolása. A lényeg nem a „minél több adat”, hanem a jól megfogalmazott kérdés, a források eredetének rögzítése és a bizonytalanság kezelése.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6"/>
          </w:tcPr>
          <w:p>
            <w:r>
              <w:rPr>
                <w:rFonts w:ascii="Noto Sans" w:hAnsi="Noto Sans"/>
                <w:b/>
                <w:color w:val="0B2944"/>
                <w:sz w:val="21"/>
              </w:rPr>
              <w:t>Etikai alapelv</w:t>
              <w:br/>
            </w:r>
            <w:r>
              <w:rPr>
                <w:rFonts w:ascii="Noto Sans" w:hAnsi="Noto Sans"/>
                <w:sz w:val="19"/>
              </w:rPr>
              <w:t>Ebben a modulban kizárólag szintetikus laboradatot, dokumentációs célú domaineket, illetve a tanár által írásban jóváhagyott szervezeti domaint használunk. Valós személyek célzott profilozása, magánadatok gyűjtése és deanonymizálása nem része a tananyagnak.</w:t>
            </w:r>
          </w:p>
        </w:tc>
      </w:tr>
    </w:tbl>
    <w:p/>
    <w:p>
      <w:pPr>
        <w:pStyle w:val="Heading1"/>
      </w:pPr>
      <w:r>
        <w:t>2. Tanulási célok</w:t>
      </w:r>
    </w:p>
    <w:p>
      <w:pPr>
        <w:pStyle w:val="ListBullet"/>
      </w:pPr>
      <w:r>
        <w:t>Passzív és aktív információgyűjtés megkülönböztetése.</w:t>
      </w:r>
    </w:p>
    <w:p>
      <w:pPr>
        <w:pStyle w:val="ListBullet"/>
      </w:pPr>
      <w:r>
        <w:t>Domain-, DNS- és webes lábnyom strukturált feltérképezése.</w:t>
      </w:r>
    </w:p>
    <w:p>
      <w:pPr>
        <w:pStyle w:val="ListBullet"/>
      </w:pPr>
      <w:r>
        <w:t>Dokumentum- és képfájlok metaadatainak vizsgálata.</w:t>
      </w:r>
    </w:p>
    <w:p>
      <w:pPr>
        <w:pStyle w:val="ListBullet"/>
      </w:pPr>
      <w:r>
        <w:t>theHarvester és SpiderFoot eredmények értelmezése biztonságos célokon.</w:t>
      </w:r>
    </w:p>
    <w:p>
      <w:pPr>
        <w:pStyle w:val="ListBullet"/>
      </w:pPr>
      <w:r>
        <w:t>Forrásmegbízhatóság, dátum és provenance dokumentálása.</w:t>
      </w:r>
    </w:p>
    <w:p>
      <w:pPr>
        <w:pStyle w:val="ListBullet"/>
      </w:pPr>
      <w:r>
        <w:t>Több forrásból származó információ triangulációja.</w:t>
      </w:r>
    </w:p>
    <w:p>
      <w:pPr>
        <w:pStyle w:val="ListBullet"/>
      </w:pPr>
      <w:r>
        <w:t>Adatminimalizált OSINT-jelentés készítése.</w:t>
      </w:r>
    </w:p>
    <w:p>
      <w:pPr>
        <w:pStyle w:val="Heading1"/>
      </w:pPr>
      <w:r>
        <w:t>3. Passzív és aktív OSINT</w:t>
      </w:r>
    </w:p>
    <w:p>
      <w:r>
        <w:t>Passzív módszernél a célrendszerrel nem vagy csak közvetetten lépünk kapcsolatba; tipikusan már létező, nyilvános adatforrást vizsgálunk. Aktív információgyűjtésnél a cél által üzemeltetett szolgáltatást is lekérdezhetjük. A határ a gyakorlatban nem mindig éles, ezért a scope és a tanári engedély elsődleges.</w:t>
      </w:r>
    </w:p>
    <w:p>
      <w:pPr>
        <w:pStyle w:val="Heading1"/>
      </w:pPr>
      <w:r>
        <w:t>4. OSINT-folyamat</w:t>
      </w:r>
    </w:p>
    <w:p>
      <w:pPr>
        <w:pStyle w:val="ListNumber"/>
      </w:pPr>
      <w:r>
        <w:t>Cél és scope: pontos kérdés, tiltott adatfajták, határidő.</w:t>
      </w:r>
    </w:p>
    <w:p>
      <w:pPr>
        <w:pStyle w:val="ListNumber"/>
      </w:pPr>
      <w:r>
        <w:t>Forráslista: mely nyilvános vagy laborforrások relevánsak?</w:t>
      </w:r>
    </w:p>
    <w:p>
      <w:pPr>
        <w:pStyle w:val="ListNumber"/>
      </w:pPr>
      <w:r>
        <w:t>Gyűjtés: kézi és automatizált módszerek.</w:t>
      </w:r>
    </w:p>
    <w:p>
      <w:pPr>
        <w:pStyle w:val="ListNumber"/>
      </w:pPr>
      <w:r>
        <w:t>Validálás: dátum, forrás, egyezés, ellentmondás.</w:t>
      </w:r>
    </w:p>
    <w:p>
      <w:pPr>
        <w:pStyle w:val="ListNumber"/>
      </w:pPr>
      <w:r>
        <w:t>Kapcsolatok: mely adatpontok támasztják alá egymást?</w:t>
      </w:r>
    </w:p>
    <w:p>
      <w:pPr>
        <w:pStyle w:val="ListNumber"/>
      </w:pPr>
      <w:r>
        <w:t>Jelentés: tény / következtetés / bizonytalanság különválasztása.</w:t>
      </w:r>
    </w:p>
    <w:p>
      <w:r>
        <w:drawing>
          <wp:inline xmlns:a="http://schemas.openxmlformats.org/drawingml/2006/main" xmlns:pic="http://schemas.openxmlformats.org/drawingml/2006/picture">
            <wp:extent cx="6035040" cy="3428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int_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8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Domain és DNS mint nyílt információforrás</w:t>
      </w:r>
    </w:p>
    <w:p>
      <w:r>
        <w:t>A DNS rekordok szervezeti struktúráról, szolgáltatásokról és névkonvenciókról adhatnak információt. A laborban helyi dnsmasq szolgáltatással szintetikus rekordokat vizsgálunk.</w:t>
      </w:r>
    </w:p>
    <w:p>
      <w:pPr>
        <w:spacing w:before="60" w:after="140"/>
        <w:ind w:left="360" w:right="216"/>
        <w:shd w:fill="0B1726"/>
      </w:pPr>
      <w:r>
        <w:rPr>
          <w:rFonts w:ascii="DejaVu Sans Mono" w:hAnsi="DejaVu Sans Mono"/>
          <w:color w:val="D5F3FF"/>
          <w:sz w:val="17"/>
        </w:rPr>
        <w:t>dig bluepeak.lab A</w:t>
        <w:br/>
        <w:t>dig bluepeak.lab MX</w:t>
        <w:br/>
        <w:t>dig bluepeak.lab TXT</w:t>
        <w:br/>
        <w:t>dig status.bluepeak.lab A</w:t>
      </w:r>
    </w:p>
    <w:p>
      <w:pPr>
        <w:pStyle w:val="Heading1"/>
      </w:pPr>
      <w:r>
        <w:t>6. RDAP / WHOIS – regisztrációs adatok</w:t>
      </w:r>
    </w:p>
    <w:p>
      <w:r>
        <w:t>Nyilvános domaineknél a regisztrációs adatok ma sok esetben RDAP-on keresztül érhetők el, és gyakran adatvédelmi okból korlátozottak. A cél nem személyes adatok keresése, hanem a domain állapotának, regisztrátorának és technikai kontextusának megértése.</w:t>
      </w:r>
    </w:p>
    <w:p>
      <w:pPr>
        <w:pStyle w:val="Heading1"/>
      </w:pPr>
      <w:r>
        <w:t>7. Webes lábnyom</w:t>
      </w:r>
    </w:p>
    <w:p>
      <w:pPr>
        <w:pStyle w:val="ListBullet"/>
      </w:pPr>
      <w:r>
        <w:t>robots.txt: keresőrobotoknak szánt útmutatás – nem hozzáférésvédelem.</w:t>
      </w:r>
    </w:p>
    <w:p>
      <w:pPr>
        <w:pStyle w:val="ListBullet"/>
      </w:pPr>
      <w:r>
        <w:t>sitemap.xml: publikált oldalak listája.</w:t>
      </w:r>
    </w:p>
    <w:p>
      <w:pPr>
        <w:pStyle w:val="ListBullet"/>
      </w:pPr>
      <w:r>
        <w:t>HTML source/meta tagek: generator, megjegyzések, hivatkozások.</w:t>
      </w:r>
    </w:p>
    <w:p>
      <w:pPr>
        <w:pStyle w:val="ListBullet"/>
      </w:pPr>
      <w:r>
        <w:t>security.txt: biztonsági kapcsolattartás és policy.</w:t>
      </w:r>
    </w:p>
    <w:p>
      <w:pPr>
        <w:pStyle w:val="ListBullet"/>
      </w:pPr>
      <w:r>
        <w:t>Publikált dokumentumok: verziók, szerzői metaadatok, technológiai utalások.</w:t>
      </w:r>
    </w:p>
    <w:p>
      <w:pPr>
        <w:pStyle w:val="Heading1"/>
      </w:pPr>
      <w:r>
        <w:t>8. Metaadatok és ExifTool</w:t>
      </w:r>
    </w:p>
    <w:p>
      <w:r>
        <w:t>A fájlok sokszor a látható tartalmon túl szerzőt, szoftvert, létrehozási időt, megjegyzést vagy más technikai metaadatot tartalmaznak. A metaadat nem automatikusan igaz: szerkeszthető és elavulhat, ezért mindig forrásként, nem abszolút bizonyítékként kezeljük.</w:t>
      </w:r>
    </w:p>
    <w:p>
      <w:pPr>
        <w:spacing w:before="60" w:after="140"/>
        <w:ind w:left="360" w:right="216"/>
        <w:shd w:fill="0B1726"/>
      </w:pPr>
      <w:r>
        <w:rPr>
          <w:rFonts w:ascii="DejaVu Sans Mono" w:hAnsi="DejaVu Sans Mono"/>
          <w:color w:val="D5F3FF"/>
          <w:sz w:val="17"/>
        </w:rPr>
        <w:t>exiftool bluepeak_media.jpg</w:t>
        <w:br/>
        <w:t>exiftool BluePeak_Public_Brochure.pdf</w:t>
        <w:br/>
        <w:t>exiftool BluePeak_Partner_Note.docx</w:t>
      </w:r>
    </w:p>
    <w:p>
      <w:pPr>
        <w:pStyle w:val="Heading1"/>
      </w:pPr>
      <w:r>
        <w:t>9. theHarvester</w:t>
      </w:r>
    </w:p>
    <w:p>
      <w:r>
        <w:t>A theHarvester nyilvános forrásokból domainhez kapcsolódó hostneveket és más adatokat képes összegyűjteni. Internetes használatkor kizárólag tanár által jóváhagyott domainen dolgozunk; offline órán a csomagban lévő mintakimenetet elemezzük.</w:t>
      </w:r>
    </w:p>
    <w:p>
      <w:pPr>
        <w:spacing w:before="60" w:after="140"/>
        <w:ind w:left="360" w:right="216"/>
        <w:shd w:fill="0B1726"/>
      </w:pPr>
      <w:r>
        <w:rPr>
          <w:rFonts w:ascii="DejaVu Sans Mono" w:hAnsi="DejaVu Sans Mono"/>
          <w:color w:val="D5F3FF"/>
          <w:sz w:val="17"/>
        </w:rPr>
        <w:t>sudo apt install theharvester</w:t>
        <w:br/>
        <w:t>theHarvester -d &lt;TANAR_ALTAL_JOVAHAGYOTT_DOMAIN&gt; -l 100 -b duckduckgo</w:t>
      </w:r>
    </w:p>
    <w:p>
      <w:pPr>
        <w:pStyle w:val="Heading1"/>
      </w:pPr>
      <w:r>
        <w:t>10. SpiderFoot – automatizált OSINT</w:t>
      </w:r>
    </w:p>
    <w:p>
      <w:r>
        <w:t>A SpiderFoot több OSINT-modult képes egyetlen vizsgálatba szervezni és a találatokat eseményekként összekapcsolni. Az automatizálás gyors, de a találatok minőségét és relevanciáját továbbra is embernek kell validálnia.</w:t>
      </w:r>
    </w:p>
    <w:p>
      <w:pPr>
        <w:spacing w:before="60" w:after="140"/>
        <w:ind w:left="360" w:right="216"/>
        <w:shd w:fill="0B1726"/>
      </w:pPr>
      <w:r>
        <w:rPr>
          <w:rFonts w:ascii="DejaVu Sans Mono" w:hAnsi="DejaVu Sans Mono"/>
          <w:color w:val="D5F3FF"/>
          <w:sz w:val="17"/>
        </w:rPr>
        <w:t>sudo apt install spiderfoot</w:t>
        <w:br/>
        <w:t>spiderfoot -l 127.0.0.1:5001</w:t>
        <w:br/>
        <w:t># böngésző: http://127.0.0.1:5001</w:t>
      </w:r>
    </w:p>
    <w:p>
      <w:r>
        <w:drawing>
          <wp:inline xmlns:a="http://schemas.openxmlformats.org/drawingml/2006/main" xmlns:pic="http://schemas.openxmlformats.org/drawingml/2006/picture">
            <wp:extent cx="6035040" cy="2851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51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Forráskritika és trianguláció</w:t>
      </w:r>
    </w:p>
    <w:p>
      <w:r>
        <w:t>Minden fontos állításhoz rögzítsd a forrás URL-jét vagy fájlnevét, a gyűjtés idejét, a forrás típusát és azt, hogy az információ elsődleges vagy másodlagos. Két egymást másoló weboldal nem két független megerősítés.</w:t>
      </w:r>
    </w:p>
    <w:p>
      <w:pPr>
        <w:pStyle w:val="Heading1"/>
      </w:pPr>
      <w:r>
        <w:t>12. Jelentéskészítés</w:t>
      </w:r>
    </w:p>
    <w:p>
      <w:pPr>
        <w:pStyle w:val="ListBullet"/>
      </w:pPr>
      <w:r>
        <w:t>Scope és engedély</w:t>
      </w:r>
    </w:p>
    <w:p>
      <w:pPr>
        <w:pStyle w:val="ListBullet"/>
      </w:pPr>
      <w:r>
        <w:t>Módszertan</w:t>
      </w:r>
    </w:p>
    <w:p>
      <w:pPr>
        <w:pStyle w:val="ListBullet"/>
      </w:pPr>
      <w:r>
        <w:t>Forrásnapló</w:t>
      </w:r>
    </w:p>
    <w:p>
      <w:pPr>
        <w:pStyle w:val="ListBullet"/>
      </w:pPr>
      <w:r>
        <w:t>Megállapítások és bizonyítékok</w:t>
      </w:r>
    </w:p>
    <w:p>
      <w:pPr>
        <w:pStyle w:val="ListBullet"/>
      </w:pPr>
      <w:r>
        <w:t>Bizonytalanság / ellentmondás</w:t>
      </w:r>
    </w:p>
    <w:p>
      <w:pPr>
        <w:pStyle w:val="ListBullet"/>
      </w:pPr>
      <w:r>
        <w:t>Adatminimalizálás</w:t>
      </w:r>
    </w:p>
    <w:p>
      <w:pPr>
        <w:pStyle w:val="ListBullet"/>
      </w:pPr>
      <w:r>
        <w:t>Javaslat a nyilvános lábnyom csökkentésére</w:t>
      </w:r>
    </w:p>
    <w:p>
      <w:pPr>
        <w:pStyle w:val="Heading1"/>
      </w:pPr>
      <w:r>
        <w:t>13. Összefoglalás</w:t>
      </w:r>
    </w:p>
    <w:p>
      <w:pPr>
        <w:pStyle w:val="ListBullet"/>
      </w:pPr>
      <w:r>
        <w:t>Az OSINT kérdésvezérelt, nem adatgyűjtő verseny.</w:t>
      </w:r>
    </w:p>
    <w:p>
      <w:pPr>
        <w:pStyle w:val="ListBullet"/>
      </w:pPr>
      <w:r>
        <w:t>A metadata, DNS és webes publikáció együtt erős képet adhat.</w:t>
      </w:r>
    </w:p>
    <w:p>
      <w:pPr>
        <w:pStyle w:val="ListBullet"/>
      </w:pPr>
      <w:r>
        <w:t>Automatizált eszköz nem helyettesíti a forrásvalidálást.</w:t>
      </w:r>
    </w:p>
    <w:p>
      <w:pPr>
        <w:pStyle w:val="ListBullet"/>
      </w:pPr>
      <w:r>
        <w:t>A jogszerűség, a scope és a személyes adatok minimalizálása alapkövetelmény.</w:t>
      </w:r>
    </w:p>
    <w:p>
      <w:pPr>
        <w:pStyle w:val="Heading1"/>
      </w:pPr>
      <w:r>
        <w:t>Források és további olvasmány</w:t>
      </w:r>
    </w:p>
    <w:p>
      <w:pPr>
        <w:pStyle w:val="ListBullet"/>
      </w:pPr>
      <w:r>
        <w:t>Kali Linux Tools – SpiderFoot: https://www.kali.org/tools/spiderfoot/</w:t>
      </w:r>
    </w:p>
    <w:p>
      <w:pPr>
        <w:pStyle w:val="ListBullet"/>
      </w:pPr>
      <w:r>
        <w:t>Kali Linux Tools – theHarvester: https://www.kali.org/tools/theharvester/</w:t>
      </w:r>
    </w:p>
    <w:p>
      <w:pPr>
        <w:pStyle w:val="ListBullet"/>
      </w:pPr>
      <w:r>
        <w:t>Kali Linux Tools – ExifTool package: https://www.kali.org/tools/libimage-exiftool-perl/</w:t>
      </w:r>
    </w:p>
    <w:p>
      <w:pPr>
        <w:pStyle w:val="ListBullet"/>
      </w:pPr>
      <w:r>
        <w:t>Kali Linux Tools – Recon-ng: https://www.kali.org/tools/recon-ng/</w:t>
      </w:r>
    </w:p>
    <w:p>
      <w:pPr>
        <w:pStyle w:val="ListBullet"/>
      </w:pPr>
      <w:r>
        <w:t>Kali information-gathering metapackage: https://www.kali.org/tools/kali-meta/</w:t>
      </w:r>
    </w:p>
    <w:p>
      <w:pPr>
        <w:pStyle w:val="ListBullet"/>
      </w:pPr>
      <w:r>
        <w:t>IANA reserved example domains – gyakorláskor személyes adatok helyett dokumentációs/saját célok használata.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0B29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48D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0B29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0B29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