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These shared results validate that the findings are consistent and reproducible.</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serves a similar purpose: showing how changing a single feature affects the predicted risk for a specific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are clinically reasonable, but the difference likely comes from the different models and preprocessing choices.</w:t>
      </w:r>
    </w:p>
    <w:p>
      <w:pPr>
        <w:spacing w:after="120"/>
      </w:pPr>
      <w:r>
        <w:rPr>
          <w:rFonts w:ascii="Times New Roman" w:hAnsi="Times New Roman"/>
          <w:sz w:val="24"/>
        </w:rPr>
        <w:t>In short, both projects confirm that prior inpatient visits and discharge disposition are the strongest predictors of 30-day readmission, and that PFI and PDP are effective for explaining model decisions.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