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gives clinicians enough context to make informed decisions rather than blindly relying on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Dashboard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L=4 (5-day stay), A=3 (emergency admission), C=1 (Circulatory diagnosis carries CCI weight of 1), E=0 (no prior ED visits). Total LACE score = 8, which is below the threshold of 10, so LACE would classify this patient as low risk. This illustrates a case where the ML model catches a risk that LACE misses.</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provides an interactive interface with four tabs: (1) Risk Assessment, where users adjust patient parameters via sliders and get a real-time risk score; (2) Explainability and What-If Analysis, showing which features drive each prediction and allowing scenario simulation; (3) Clinical Impact, with population-level charts and feature importance visualization; and (4) Model Performance, displaying ROC-AUC curves, confusion matrices, and the model comparison table.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20 MB. The exported model artifacts total about 1.5 MB, of which the trained XGBoost model file is the largest at 777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r>
              <w:rPr>
                <w:rFonts w:ascii="Times New Roman" w:hAnsi="Times New Roman"/>
                <w:sz w:val="22"/>
              </w:rPr>
              <w:t>737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r>
              <w:rPr>
                <w:rFonts w:ascii="Times New Roman" w:hAnsi="Times New Roman"/>
                <w:sz w:val="22"/>
              </w:rPr>
              <w:t>863</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r>
              <w:rPr>
                <w:rFonts w:ascii="Times New Roman" w:hAnsi="Times New Roman"/>
                <w:sz w:val="22"/>
              </w:rPr>
              <w:t>647</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r>
              <w:rPr>
                <w:rFonts w:ascii="Times New Roman" w:hAnsi="Times New Roman"/>
                <w:sz w:val="22"/>
              </w:rPr>
              <w:t>6 files (~1.5 MB)</w:t>
            </w:r>
          </w:p>
        </w:tc>
        <w:tc>
          <w:tcPr>
            <w:tcW w:type="dxa" w:w="3600"/>
          </w:tcPr>
          <w:p>
            <w:r/>
            <w:r>
              <w:rPr>
                <w:rFonts w:ascii="Times New Roman" w:hAnsi="Times New Roman"/>
                <w:sz w:val="22"/>
              </w:rPr>
              <w:t>Trained model, scaler, feature names, config, PFI results, population stats</w:t>
            </w:r>
          </w:p>
        </w:tc>
      </w:tr>
    </w:tbl>
    <w:p/>
    <w:p>
      <w:pPr>
        <w:spacing w:after="120"/>
      </w:pPr>
      <w:r>
        <w:rPr>
          <w:rFonts w:ascii="Times New Roman" w:hAnsi="Times New Roman"/>
          <w:sz w:val="24"/>
        </w:rPr>
        <w:t>In total, the project contains approximately 2,247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Building the Feature Vector for a Single Patient Prediction</w:t>
      </w:r>
    </w:p>
    <w:p>
      <w:pPr>
        <w:spacing w:after="120"/>
      </w:pPr>
      <w:r>
        <w:rPr>
          <w:rFonts w:ascii="Times New Roman" w:hAnsi="Times New Roman"/>
          <w:sz w:val="24"/>
        </w:rPr>
        <w:t>This snippet from the predict_patient() function shows how a single patient's clinical inputs are converted into the 46-column encoded feature vector that the model expects. Numeric features are placed directly, categorical features are one-hot encoded by setting the appropriate dummy column to 1, and the entire vector is scaled using the training scaler before prediction. This same logic powers both the notebook's interactive prediction function and the Streamlit dashboard.</w:t>
      </w:r>
    </w:p>
    <w:p>
      <w:pPr>
        <w:spacing w:after="40"/>
        <w:ind w:left="432"/>
      </w:pPr>
      <w:r>
        <w:rPr>
          <w:rFonts w:ascii="Courier New" w:hAnsi="Courier New"/>
          <w:sz w:val="18"/>
        </w:rPr>
        <w:t>patient_encoded = pd.DataFrame(0, index=[0], columns=feature_names, dtype=float)</w:t>
      </w:r>
    </w:p>
    <w:p>
      <w:pPr>
        <w:spacing w:after="40"/>
        <w:ind w:left="432"/>
      </w:pPr>
      <w:r>
        <w:rPr>
          <w:rFonts w:ascii="Courier New" w:hAnsi="Courier New"/>
          <w:sz w:val="18"/>
        </w:rPr>
      </w:r>
    </w:p>
    <w:p>
      <w:pPr>
        <w:spacing w:after="40"/>
        <w:ind w:left="432"/>
      </w:pPr>
      <w:r>
        <w:rPr>
          <w:rFonts w:ascii="Courier New" w:hAnsi="Courier New"/>
          <w:sz w:val="18"/>
        </w:rPr>
        <w:t>for col, val in raw_numeric.items():</w:t>
      </w:r>
    </w:p>
    <w:p>
      <w:pPr>
        <w:spacing w:after="40"/>
        <w:ind w:left="432"/>
      </w:pPr>
      <w:r>
        <w:rPr>
          <w:rFonts w:ascii="Courier New" w:hAnsi="Courier New"/>
          <w:sz w:val="18"/>
        </w:rPr>
        <w:t xml:space="preserve">    if col in feature_names:</w:t>
      </w:r>
    </w:p>
    <w:p>
      <w:pPr>
        <w:spacing w:after="40"/>
        <w:ind w:left="432"/>
      </w:pPr>
      <w:r>
        <w:rPr>
          <w:rFonts w:ascii="Courier New" w:hAnsi="Courier New"/>
          <w:sz w:val="18"/>
        </w:rPr>
        <w:t xml:space="preserve">        patient_encoded[col] = val</w:t>
      </w:r>
    </w:p>
    <w:p>
      <w:pPr>
        <w:spacing w:after="40"/>
        <w:ind w:left="432"/>
      </w:pPr>
      <w:r>
        <w:rPr>
          <w:rFonts w:ascii="Courier New" w:hAnsi="Courier New"/>
          <w:sz w:val="18"/>
        </w:rPr>
      </w:r>
    </w:p>
    <w:p>
      <w:pPr>
        <w:spacing w:after="40"/>
        <w:ind w:left="432"/>
      </w:pPr>
      <w:r>
        <w:rPr>
          <w:rFonts w:ascii="Courier New" w:hAnsi="Courier New"/>
          <w:sz w:val="18"/>
        </w:rPr>
        <w:t>for col, val in categorical.items():</w:t>
      </w:r>
    </w:p>
    <w:p>
      <w:pPr>
        <w:spacing w:after="40"/>
        <w:ind w:left="432"/>
      </w:pPr>
      <w:r>
        <w:rPr>
          <w:rFonts w:ascii="Courier New" w:hAnsi="Courier New"/>
          <w:sz w:val="18"/>
        </w:rPr>
        <w:t xml:space="preserve">    dummy_col = f'{col}_{val}'</w:t>
      </w:r>
    </w:p>
    <w:p>
      <w:pPr>
        <w:spacing w:after="40"/>
        <w:ind w:left="432"/>
      </w:pPr>
      <w:r>
        <w:rPr>
          <w:rFonts w:ascii="Courier New" w:hAnsi="Courier New"/>
          <w:sz w:val="18"/>
        </w:rPr>
        <w:t xml:space="preserve">    if dummy_col in feature_names:</w:t>
      </w:r>
    </w:p>
    <w:p>
      <w:pPr>
        <w:spacing w:after="40"/>
        <w:ind w:left="432"/>
      </w:pPr>
      <w:r>
        <w:rPr>
          <w:rFonts w:ascii="Courier New" w:hAnsi="Courier New"/>
          <w:sz w:val="18"/>
        </w:rPr>
        <w:t xml:space="preserve">        patient_encoded[dummy_col] = 1</w:t>
      </w:r>
    </w:p>
    <w:p>
      <w:pPr>
        <w:spacing w:after="40"/>
        <w:ind w:left="432"/>
      </w:pPr>
      <w:r>
        <w:rPr>
          <w:rFonts w:ascii="Courier New" w:hAnsi="Courier New"/>
          <w:sz w:val="18"/>
        </w:rPr>
      </w:r>
    </w:p>
    <w:p>
      <w:pPr>
        <w:spacing w:after="40"/>
        <w:ind w:left="432"/>
      </w:pPr>
      <w:r>
        <w:rPr>
          <w:rFonts w:ascii="Courier New" w:hAnsi="Courier New"/>
          <w:sz w:val="18"/>
        </w:rPr>
        <w:t>patient_scaled = pd.DataFrame(</w:t>
      </w:r>
    </w:p>
    <w:p>
      <w:pPr>
        <w:spacing w:after="40"/>
        <w:ind w:left="432"/>
      </w:pPr>
      <w:r>
        <w:rPr>
          <w:rFonts w:ascii="Courier New" w:hAnsi="Courier New"/>
          <w:sz w:val="18"/>
        </w:rPr>
        <w:t xml:space="preserve">    scaler.transform(patient_encoded), columns=feature_names</w:t>
      </w:r>
    </w:p>
    <w:p>
      <w:pPr>
        <w:spacing w:after="40"/>
        <w:ind w:left="432"/>
      </w:pPr>
      <w:r>
        <w:rPr>
          <w:rFonts w:ascii="Courier New" w:hAnsi="Courier New"/>
          <w:sz w:val="18"/>
        </w:rPr>
        <w:t>)</w:t>
      </w:r>
    </w:p>
    <w:p>
      <w:pPr>
        <w:spacing w:after="40"/>
        <w:ind w:left="432"/>
      </w:pPr>
      <w:r>
        <w:rPr>
          <w:rFonts w:ascii="Courier New" w:hAnsi="Courier New"/>
          <w:sz w:val="18"/>
        </w:rPr>
        <w:t>prob = best_model.predict_proba(patient_scaled)[0, 1]</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4.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showed better discriminative ability between the two classes as measured by ROC-AUC, which is more informative than accuracy for imbalanced datasets.</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5.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6. Confusion matrices for all three models at the default threshold (0.50).</w:t>
      </w:r>
    </w:p>
    <w:p>
      <w:pPr>
        <w:spacing w:after="120"/>
      </w:pPr>
      <w:r>
        <w:rPr>
          <w:rFonts w:ascii="Times New Roman" w:hAnsi="Times New Roman"/>
          <w:sz w:val="24"/>
        </w:rPr>
        <w:t>The confusion matrices at the default 0.50 threshold (Fig 5) reveal a common problem with imbalanced datasets: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7. Five-fold stratified cross-validation stability (ROC-AUC) for all three models.</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0.01 to 0.99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is clear: lowering the threshold increases false positives (more patients flagged who will not actually be readmitted), but dramatically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8.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~1%</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~0.5%</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9.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9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10.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quantifies exactly where the ML model adds value.</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11.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provides a user-friendly interface for clinical staff to interact with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the dashboard instantly displays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allows users to simulate "what-if" scenarios by adjusting individual features.</w:t>
      </w:r>
    </w:p>
    <w:p>
      <w:pPr>
        <w:spacing w:after="60"/>
        <w:ind w:left="720"/>
      </w:pPr>
      <w:r>
        <w:rPr>
          <w:rFonts w:ascii="Times New Roman" w:hAnsi="Times New Roman"/>
          <w:sz w:val="24"/>
        </w:rPr>
        <w:t>•  Clinical Impact: Displays population-level charts including feature importance rankings and distributions of key features across risk levels.</w:t>
      </w:r>
    </w:p>
    <w:p>
      <w:pPr>
        <w:spacing w:after="60"/>
        <w:ind w:left="720"/>
      </w:pPr>
      <w:r>
        <w:rPr>
          <w:rFonts w:ascii="Times New Roman" w:hAnsi="Times New Roman"/>
          <w:sz w:val="24"/>
        </w:rPr>
        <w:t>•  Model Performance: Shows the model comparison table, ROC curves, confusion matrices, and a side-by-side LACE vs. XGBoost breakdown with the scoring components for the current patient.</w:t>
      </w:r>
    </w:p>
    <w:p>
      <w:pPr>
        <w:spacing w:after="120"/>
      </w:pPr>
      <w:r>
        <w:rPr>
          <w:rFonts w:ascii="Times New Roman" w:hAnsi="Times New Roman"/>
          <w:sz w:val="24"/>
        </w:rPr>
        <w:t>The dashboard is deployed on Streamlit Community Cloud and auto-deploys from the GitHub repository on every push, making it easy to keep the deployed version in sync with the code.</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most directly comparable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monotonically increasing relationship between number_inpatient and readmission probability.</w:t>
      </w:r>
    </w:p>
    <w:p>
      <w:pPr>
        <w:spacing w:after="60"/>
      </w:pPr>
      <w:r>
        <w:rPr>
          <w:rFonts w:ascii="Times New Roman" w:hAnsi="Times New Roman"/>
          <w:sz w:val="24"/>
        </w:rPr>
        <w:t>Similarities between my project and Guo et al. [2025]:</w:t>
      </w:r>
    </w:p>
    <w:p>
      <w:pPr>
        <w:spacing w:after="60"/>
        <w:ind w:left="720"/>
      </w:pPr>
      <w:r>
        <w:rPr>
          <w:rFonts w:ascii="Times New Roman" w:hAnsi="Times New Roman"/>
          <w:sz w:val="24"/>
        </w:rPr>
        <w:t>•  Same dataset (Diabetes 130-US Hospitals, UCI Repository).</w:t>
      </w:r>
    </w:p>
    <w:p>
      <w:pPr>
        <w:spacing w:after="60"/>
        <w:ind w:left="720"/>
      </w:pPr>
      <w:r>
        <w:rPr>
          <w:rFonts w:ascii="Times New Roman" w:hAnsi="Times New Roman"/>
          <w:sz w:val="24"/>
        </w:rPr>
        <w:t>•  Same top-ranked feature: number_inpatient was the most important predictor in both studies.</w:t>
      </w:r>
    </w:p>
    <w:p>
      <w:pPr>
        <w:spacing w:after="60"/>
        <w:ind w:left="720"/>
      </w:pPr>
      <w:r>
        <w:rPr>
          <w:rFonts w:ascii="Times New Roman" w:hAnsi="Times New Roman"/>
          <w:sz w:val="24"/>
        </w:rPr>
        <w:t>•  Both used PFI and PDP for explainability, and both found consistent results between the two techniques.</w:t>
      </w:r>
    </w:p>
    <w:p>
      <w:pPr>
        <w:spacing w:after="60"/>
        <w:ind w:left="720"/>
      </w:pPr>
      <w:r>
        <w:rPr>
          <w:rFonts w:ascii="Times New Roman" w:hAnsi="Times New Roman"/>
          <w:sz w:val="24"/>
        </w:rPr>
        <w:t>•  Both applied SMOTE to handle the class imbalance problem.</w:t>
      </w:r>
    </w:p>
    <w:p>
      <w:pPr>
        <w:spacing w:after="60"/>
        <w:ind w:left="720"/>
      </w:pPr>
      <w:r>
        <w:rPr>
          <w:rFonts w:ascii="Times New Roman" w:hAnsi="Times New Roman"/>
          <w:sz w:val="24"/>
        </w:rPr>
        <w:t>•  Both confirmed that discharge_disposition_id is among the top predictive features.</w:t>
      </w:r>
    </w:p>
    <w:p>
      <w:pPr>
        <w:spacing w:after="60"/>
      </w:pPr>
      <w:r>
        <w:rPr>
          <w:rFonts w:ascii="Times New Roman" w:hAnsi="Times New Roman"/>
          <w:sz w:val="24"/>
        </w:rPr>
        <w:t>Differences and contributions of my project:</w:t>
      </w:r>
    </w:p>
    <w:p>
      <w:pPr>
        <w:spacing w:after="60"/>
        <w:ind w:left="720"/>
      </w:pPr>
      <w:r>
        <w:rPr>
          <w:rFonts w:ascii="Times New Roman" w:hAnsi="Times New Roman"/>
          <w:sz w:val="24"/>
        </w:rPr>
        <w:t>•  Model selection: Guo et al. selected Bagging Random Forest as their best model (89% accuracy, 67% precision), while I selected XGBoost. My model achieved 79% accuracy at the optimized threshold of 0.20, but this was a deliberate trade-off for much higher recall (35% vs. their unreported recall at the default threshold).</w:t>
      </w:r>
    </w:p>
    <w:p>
      <w:pPr>
        <w:spacing w:after="60"/>
        <w:ind w:left="720"/>
      </w:pPr>
      <w:r>
        <w:rPr>
          <w:rFonts w:ascii="Times New Roman" w:hAnsi="Times New Roman"/>
          <w:sz w:val="24"/>
        </w:rPr>
        <w:t>•  Threshold optimization: My project explicitly optimized the classification threshold to maximize F1-score, which is critical for imbalanced datasets. Guo et al. reported accuracy and precision but did not discuss threshold tuning, which suggests they used the default 0.50 threshold.</w:t>
      </w:r>
    </w:p>
    <w:p>
      <w:pPr>
        <w:spacing w:after="60"/>
        <w:ind w:left="720"/>
      </w:pPr>
      <w:r>
        <w:rPr>
          <w:rFonts w:ascii="Times New Roman" w:hAnsi="Times New Roman"/>
          <w:sz w:val="24"/>
        </w:rPr>
        <w:t>•  LACE Index comparison: My project included a head-to-head comparison between the ML model and the LACE Index, a rule-based clinical tool. This comparison is not present in Guo et al. and provides practical context for how the ML approach compares to what hospitals already use.</w:t>
      </w:r>
    </w:p>
    <w:p>
      <w:pPr>
        <w:spacing w:after="60"/>
        <w:ind w:left="720"/>
      </w:pPr>
      <w:r>
        <w:rPr>
          <w:rFonts w:ascii="Times New Roman" w:hAnsi="Times New Roman"/>
          <w:sz w:val="24"/>
        </w:rPr>
        <w:t>•  Interactive dashboard: I deployed the model as a Streamlit web application with real-time prediction, what-if analysis, and LACE scoring. Guo et al. did not include a deployment or interface component.</w:t>
      </w:r>
    </w:p>
    <w:p>
      <w:pPr>
        <w:spacing w:after="60"/>
        <w:ind w:left="720"/>
      </w:pPr>
      <w:r>
        <w:rPr>
          <w:rFonts w:ascii="Times New Roman" w:hAnsi="Times New Roman"/>
          <w:sz w:val="24"/>
        </w:rPr>
        <w:t>•  Scope: Guo et al. tested nine classifiers with multiple feature selection methods, giving a broader survey of techniques. My project used three classifiers but went deeper on threshold optimization, clinical baseline comparison, and deployment.</w:t>
      </w:r>
    </w:p>
    <w:p>
      <w:pPr>
        <w:spacing w:after="120"/>
      </w:pPr>
      <w:r>
        <w:rPr>
          <w:rFonts w:ascii="Times New Roman" w:hAnsi="Times New Roman"/>
          <w:sz w:val="24"/>
        </w:rPr>
        <w:t>Overall, both projects reach the same fundamental conclusion: prior inpatient visits and discharge disposition are the strongest predictors of 30-day readmission for diabetic patients, and explainability techniques like PFI and PDP provide clinically meaningful insights into model behavior. My project adds practical value through threshold tuning, the LACE benchmark, and an interactive deployment.</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