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0.05 to 0.95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w:t>
      </w:r>
      <w:hyperlink r:id="rId22">
        <w:r>
          <w:rPr>
            <w:rStyle w:val="Hyperlink"/>
            <w:rFonts w:ascii="Times New Roman" w:hAnsi="Times New Roman"/>
            <w:sz w:val="24"/>
          </w:rPr>
          <w:t xml:space="preserve">https://cs719rajpanchal200490453.streamlit.app/</w:t>
        </w:r>
      </w:hyperlink>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pPr>
        <w:spacing w:after="120"/>
      </w:pPr>
      <w:r>
        <w:rPr>
          <w:rFonts w:ascii="Times New Roman" w:hAnsi="Times New Roman"/>
          <w:sz w:val="24"/>
        </w:rPr>
        <w:t>The ROC-AUC of 0.6648, while moderate, is in line with the broader literature. Huang et al. [2021] reviewed 43 U.S.-based readmission studies and reported a median AUC of 0.68. Readmission depends on many factors not captured in structured hospital data, such as social support, patient compliance, and living conditions, so there is a ceiling on how well any model trained on EHR data alone can perform.</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Constraints of the dataset and problem:</w:t>
      </w:r>
    </w:p>
    <w:p>
      <w:pPr>
        <w:spacing w:after="60"/>
        <w:ind w:left="720"/>
      </w:pPr>
      <w:r>
        <w:rPr>
          <w:rFonts w:ascii="Times New Roman" w:hAnsi="Times New Roman"/>
          <w:sz w:val="24"/>
        </w:rPr>
        <w:t>•  The dataset covers 1999 to 2008. Clinical practices, medications, and coding standards have changed a lot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give a more accurate LACE comparison.</w:t>
      </w:r>
    </w:p>
    <w:p>
      <w:pPr>
        <w:spacing w:after="60"/>
      </w:pPr>
      <w:r>
        <w:rPr>
          <w:rFonts w:ascii="Times New Roman" w:hAnsi="Times New Roman"/>
          <w:sz w:val="24"/>
        </w:rPr>
        <w:t>Possible extensions:</w:t>
      </w:r>
    </w:p>
    <w:p>
      <w:pPr>
        <w:spacing w:after="60"/>
        <w:ind w:left="720"/>
      </w:pPr>
      <w:r>
        <w:rPr>
          <w:rFonts w:ascii="Times New Roman" w:hAnsi="Times New Roman"/>
          <w:sz w:val="24"/>
        </w:rPr>
        <w:t>•  EHR integration: The dashboard currently requires manual input of patient parameters. Connecting it to a hospital's Electronic Health Record system via an API would make it usable in a real clinical workflow without manual data entry.</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 xml:space="preserve">[1] Strack, B., DeShazo, J.P., Gennings, C., Olmo, J.L., Ventura, S., Cios, K.J., and Clore, J.N. (2014). Impact of HbA1c Measurement on Hospital Readmission Rates: Analysis of 70,000 Clinical Database Patient Records. BioMed Research International, 2014, Article 781670. Dataset available at: </w:t>
      </w:r>
      <w:hyperlink r:id="rId23">
        <w:r>
          <w:rPr>
            <w:rStyle w:val="Hyperlink"/>
            <w:rFonts w:ascii="Times New Roman" w:hAnsi="Times New Roman"/>
            <w:sz w:val="22"/>
          </w:rPr>
          <w:t xml:space="preserve">https://archive.ics.uci.edu/ml/datasets/diabetes+130-us+hospitals+for+years+1999-2008</w:t>
        </w:r>
      </w:hyperlink>
    </w:p>
    <w:p>
      <w:pPr>
        <w:spacing w:after="80"/>
        <w:ind w:left="576" w:hanging="576"/>
      </w:pPr>
      <w:r>
        <w:rPr>
          <w:rFonts w:ascii="Times New Roman" w:hAnsi="Times New Roman"/>
          <w:sz w:val="22"/>
        </w:rPr>
        <w:t xml:space="preserve">[2]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w:t>
      </w:r>
      <w:hyperlink r:id="rId24">
        <w:r>
          <w:rPr>
            <w:rStyle w:val="Hyperlink"/>
            <w:rFonts w:ascii="Times New Roman" w:hAnsi="Times New Roman"/>
            <w:sz w:val="22"/>
          </w:rPr>
          <w:t xml:space="preserve">https://doi.org/10.1503/cmaj.091117</w:t>
        </w:r>
      </w:hyperlink>
    </w:p>
    <w:p>
      <w:pPr>
        <w:spacing w:after="80"/>
        <w:ind w:left="576" w:hanging="576"/>
      </w:pPr>
      <w:r>
        <w:rPr>
          <w:rFonts w:ascii="Times New Roman" w:hAnsi="Times New Roman"/>
          <w:sz w:val="22"/>
        </w:rPr>
        <w:t xml:space="preserve">[3] Chen, T. and Guestrin, C. (2016). XGBoost: A Scalable Tree Boosting System. Proceedings of the 22nd ACM SIGKDD International Conference on Knowledge Discovery and Data Mining, 785-794. </w:t>
      </w:r>
      <w:hyperlink r:id="rId25">
        <w:r>
          <w:rPr>
            <w:rStyle w:val="Hyperlink"/>
            <w:rFonts w:ascii="Times New Roman" w:hAnsi="Times New Roman"/>
            <w:sz w:val="22"/>
          </w:rPr>
          <w:t xml:space="preserve">https://doi.org/10.1145/2939672.2939785</w:t>
        </w:r>
      </w:hyperlink>
    </w:p>
    <w:p>
      <w:pPr>
        <w:spacing w:after="80"/>
        <w:ind w:left="576" w:hanging="576"/>
      </w:pPr>
      <w:r>
        <w:rPr>
          <w:rFonts w:ascii="Times New Roman" w:hAnsi="Times New Roman"/>
          <w:sz w:val="22"/>
        </w:rPr>
        <w:t xml:space="preserve">[4] Chawla, N.V., Bowyer, K.W., Hall, L.O., and Kegelmeyer, W.P. (2002). SMOTE: Synthetic Minority Over-sampling Technique. Journal of Artificial Intelligence Research, 16, 321-357. </w:t>
      </w:r>
      <w:hyperlink r:id="rId26">
        <w:r>
          <w:rPr>
            <w:rStyle w:val="Hyperlink"/>
            <w:rFonts w:ascii="Times New Roman" w:hAnsi="Times New Roman"/>
            <w:sz w:val="22"/>
          </w:rPr>
          <w:t xml:space="preserve">https://doi.org/10.1613/jair.953</w:t>
        </w:r>
      </w:hyperlink>
    </w:p>
    <w:p>
      <w:pPr>
        <w:spacing w:after="80"/>
        <w:ind w:left="576" w:hanging="576"/>
      </w:pPr>
      <w:r>
        <w:rPr>
          <w:rFonts w:ascii="Times New Roman" w:hAnsi="Times New Roman"/>
          <w:sz w:val="22"/>
        </w:rPr>
        <w:t xml:space="preserve">[5] Guo, C., Zhou, H., Pires, I.M., Coelho, P.J., Tong, R., and Farid, F. (2025). Towards an Explainable Machine Learning Model to Reduce Readmission Risks for Diabetes Patients. Informatics in Medicine Unlocked, 58, 101686. </w:t>
      </w:r>
      <w:hyperlink r:id="rId27">
        <w:r>
          <w:rPr>
            <w:rStyle w:val="Hyperlink"/>
            <w:rFonts w:ascii="Times New Roman" w:hAnsi="Times New Roman"/>
            <w:sz w:val="22"/>
          </w:rPr>
          <w:t xml:space="preserve">https://doi.org/10.1016/j.imu.2025.101686</w:t>
        </w:r>
      </w:hyperlink>
    </w:p>
    <w:p>
      <w:pPr>
        <w:spacing w:after="80"/>
        <w:ind w:left="576" w:hanging="576"/>
      </w:pPr>
      <w:r>
        <w:rPr>
          <w:rFonts w:ascii="Times New Roman" w:hAnsi="Times New Roman"/>
          <w:sz w:val="22"/>
        </w:rPr>
        <w:t xml:space="preserve">[6] Huang, Y., Talwar, A., Chatterjee, S., and Aparasu, R.R. (2021). Application of Machine Learning in Predicting Hospital Readmissions: A Scoping Review of the Literature. BMC Medical Research Methodology, 21, 96. </w:t>
      </w:r>
      <w:hyperlink r:id="rId28">
        <w:r>
          <w:rPr>
            <w:rStyle w:val="Hyperlink"/>
            <w:rFonts w:ascii="Times New Roman" w:hAnsi="Times New Roman"/>
            <w:sz w:val="22"/>
          </w:rPr>
          <w:t xml:space="preserve">https://doi.org/10.1186/s12874-021-01284-z</w:t>
        </w:r>
      </w:hyperlink>
    </w:p>
    <w:p>
      <w:pPr>
        <w:spacing w:after="80"/>
        <w:ind w:left="576" w:hanging="576"/>
      </w:pPr>
      <w:r>
        <w:rPr>
          <w:rFonts w:ascii="Times New Roman" w:hAnsi="Times New Roman"/>
          <w:sz w:val="22"/>
        </w:rPr>
        <w:t xml:space="preserve">[7] Molnar, C. (2022). Interpretable Machine Learning: A Guide for Making Black Box Models Explainable (2nd ed.). Available at: </w:t>
      </w:r>
      <w:hyperlink r:id="rId29">
        <w:r>
          <w:rPr>
            <w:rStyle w:val="Hyperlink"/>
            <w:rFonts w:ascii="Times New Roman" w:hAnsi="Times New Roman"/>
            <w:sz w:val="22"/>
          </w:rPr>
          <w:t xml:space="preserve">https://christophm.github.io/interpretable-ml-book/</w:t>
        </w:r>
      </w:hyperlink>
    </w:p>
    <w:p>
      <w:pPr>
        <w:spacing w:after="80"/>
        <w:ind w:left="576" w:hanging="576"/>
      </w:pPr>
      <w:r>
        <w:rPr>
          <w:rFonts w:ascii="Times New Roman" w:hAnsi="Times New Roman"/>
          <w:sz w:val="22"/>
        </w:rPr>
        <w:t xml:space="preserve">[8] Pedregosa, F., Varoquaux, G., Gramfort, A., et al. (2011). Scikit-learn: Machine Learning in Python. Journal of Machine Learning Research, 12, 2825-2830. Available at: </w:t>
      </w:r>
      <w:hyperlink r:id="rId30">
        <w:r>
          <w:rPr>
            <w:rStyle w:val="Hyperlink"/>
            <w:rFonts w:ascii="Times New Roman" w:hAnsi="Times New Roman"/>
            <w:sz w:val="22"/>
          </w:rPr>
          <w:t xml:space="preserve">https://scikit-learn.org/stable/</w:t>
        </w:r>
      </w:hyperlink>
    </w:p>
    <w:p>
      <w:pPr>
        <w:spacing w:after="80"/>
        <w:ind w:left="576" w:hanging="576"/>
      </w:pPr>
      <w:r>
        <w:rPr>
          <w:rFonts w:ascii="Times New Roman" w:hAnsi="Times New Roman"/>
          <w:sz w:val="22"/>
        </w:rPr>
        <w:t xml:space="preserve">[9] Breiman, L. (2001). Random Forests. Machine Learning, 45(1), 5-32. </w:t>
      </w:r>
      <w:hyperlink r:id="rId31">
        <w:r>
          <w:rPr>
            <w:rStyle w:val="Hyperlink"/>
            <w:rFonts w:ascii="Times New Roman" w:hAnsi="Times New Roman"/>
            <w:sz w:val="22"/>
          </w:rPr>
          <w:t xml:space="preserve">https://doi.org/10.1023/A:1010933404324</w:t>
        </w:r>
      </w:hyperlink>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cs719rajpanchal200490453.streamlit.app/" TargetMode="External"/><Relationship Id="rId23" Type="http://schemas.openxmlformats.org/officeDocument/2006/relationships/hyperlink" Target="https://archive.ics.uci.edu/ml/datasets/diabetes+130-us+hospitals+for+years+1999-2008" TargetMode="External"/><Relationship Id="rId24" Type="http://schemas.openxmlformats.org/officeDocument/2006/relationships/hyperlink" Target="https://doi.org/10.1503/cmaj.091117" TargetMode="External"/><Relationship Id="rId25" Type="http://schemas.openxmlformats.org/officeDocument/2006/relationships/hyperlink" Target="https://doi.org/10.1145/2939672.2939785" TargetMode="External"/><Relationship Id="rId26" Type="http://schemas.openxmlformats.org/officeDocument/2006/relationships/hyperlink" Target="https://doi.org/10.1613/jair.953" TargetMode="External"/><Relationship Id="rId27" Type="http://schemas.openxmlformats.org/officeDocument/2006/relationships/hyperlink" Target="https://doi.org/10.1016/j.imu.2025.101686" TargetMode="External"/><Relationship Id="rId28" Type="http://schemas.openxmlformats.org/officeDocument/2006/relationships/hyperlink" Target="https://doi.org/10.1186/s12874-021-01284-z" TargetMode="External"/><Relationship Id="rId29" Type="http://schemas.openxmlformats.org/officeDocument/2006/relationships/hyperlink" Target="https://christophm.github.io/interpretable-ml-book/" TargetMode="External"/><Relationship Id="rId30" Type="http://schemas.openxmlformats.org/officeDocument/2006/relationships/hyperlink" Target="https://scikit-learn.org/stable/" TargetMode="External"/><Relationship Id="rId31" Type="http://schemas.openxmlformats.org/officeDocument/2006/relationships/hyperlink" Target="https://doi.org/10.1023/A:1010933404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