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Notebook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lets clinical staff use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it shows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lets you simulate "what-if" scenarios by adjusting individual features.</w:t>
      </w:r>
    </w:p>
    <w:p>
      <w:pPr>
        <w:spacing w:after="60"/>
        <w:ind w:left="720"/>
      </w:pPr>
      <w:r>
        <w:rPr>
          <w:rFonts w:ascii="Times New Roman" w:hAnsi="Times New Roman"/>
          <w:sz w:val="24"/>
        </w:rPr>
        <w:t>•  Clinical Impact: Covers the threshold optimization impact, a side-by-side LACE vs. XGBoost comparison for the current patient, and an estimated cost savings calculator.</w:t>
      </w:r>
    </w:p>
    <w:p>
      <w:pPr>
        <w:spacing w:after="60"/>
        <w:ind w:left="720"/>
      </w:pPr>
      <w:r>
        <w:rPr>
          <w:rFonts w:ascii="Times New Roman" w:hAnsi="Times New Roman"/>
          <w:sz w:val="24"/>
        </w:rPr>
        <w:t>•  Model Performance: Shows the model comparison table along with a summary of the dataset and methodology.</w:t>
      </w:r>
    </w:p>
    <w:p>
      <w:pPr>
        <w:spacing w:after="120"/>
      </w:pPr>
      <w:r>
        <w:rPr>
          <w:rFonts w:ascii="Times New Roman" w:hAnsi="Times New Roman"/>
          <w:sz w:val="24"/>
        </w:rPr>
        <w:t>The dashboard is deployed on Streamlit Community Cloud and auto-deploys from the GitHub repository on every push, so the live version always matches the latest code. The dashboard is accessible at: https://cs719rajpanchal200490453.streamlit.app/.</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closest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steady increase between number_inpatient and readmission probability.</w:t>
      </w:r>
    </w:p>
    <w:p>
      <w:pPr>
        <w:spacing w:after="120"/>
      </w:pPr>
      <w:r>
        <w:rPr>
          <w:rFonts w:ascii="Times New Roman" w:hAnsi="Times New Roman"/>
          <w:sz w:val="24"/>
        </w:rPr>
        <w:t>Since both studies use the same dataset and the same target variable, some overlap is expected. Both identified number_inpatient as the top predictor, both used SMOTE for class imbalance, and both applied PFI and PDP for explainability. This overlap makes sense given the shared dataset and confirms that the results hold up.</w:t>
      </w:r>
    </w:p>
    <w:p>
      <w:pPr>
        <w:spacing w:after="120"/>
      </w:pPr>
      <w:r>
        <w:rPr>
          <w:rFonts w:ascii="Times New Roman" w:hAnsi="Times New Roman"/>
          <w:sz w:val="24"/>
        </w:rPr>
        <w:t>That said, the two projects differ in several important ways:</w:t>
      </w:r>
    </w:p>
    <w:p>
      <w:pPr>
        <w:spacing w:after="60"/>
        <w:ind w:left="720"/>
      </w:pPr>
      <w:r>
        <w:rPr>
          <w:rFonts w:ascii="Times New Roman" w:hAnsi="Times New Roman"/>
          <w:sz w:val="24"/>
        </w:rPr>
        <w:t>•  Evaluation metric and model choice: Guo et al. selected Bagging Random Forest based on accuracy (89%) and precision (67%). I selected XGBoost based on ROC-AUC (0.6648), which is a more reliable metric when one class heavily outnumbers the other, since accuracy can be misleading in that situation.</w:t>
      </w:r>
    </w:p>
    <w:p>
      <w:pPr>
        <w:spacing w:after="60"/>
        <w:ind w:left="720"/>
      </w:pPr>
      <w:r>
        <w:rPr>
          <w:rFonts w:ascii="Times New Roman" w:hAnsi="Times New Roman"/>
          <w:sz w:val="24"/>
        </w:rPr>
        <w:t>•  Number of classifiers and sampling strategies: Guo et al. tested nine classifiers across three sampling strategies (no sampling, random oversampling, and SMOTE), giving a broader survey of techniques. I tested three classifiers (Logistic Regression, Random Forest, XGBoost) with SMOTE only, but spent more time on what happens after model selection.</w:t>
      </w:r>
    </w:p>
    <w:p>
      <w:pPr>
        <w:spacing w:after="60"/>
        <w:ind w:left="720"/>
      </w:pPr>
      <w:r>
        <w:rPr>
          <w:rFonts w:ascii="Times New Roman" w:hAnsi="Times New Roman"/>
          <w:sz w:val="24"/>
        </w:rPr>
        <w:t>•  Explainability techniques: Guo et al. used PFI, PDP, and SHAP. I used PFI and PDP but did not include SHAP. However, my dashboard includes a patient-level what-if analysis that does something similar — it shows how changing one feature shifts the risk for a given patient.</w:t>
      </w:r>
    </w:p>
    <w:p>
      <w:pPr>
        <w:spacing w:after="60"/>
        <w:ind w:left="720"/>
      </w:pPr>
      <w:r>
        <w:rPr>
          <w:rFonts w:ascii="Times New Roman" w:hAnsi="Times New Roman"/>
          <w:sz w:val="24"/>
        </w:rPr>
        <w:t>•  Threshold optimization: I swept thresholds from 0.05 to 0.95 and selected 0.20 to maximize F1-score, which improved recall from 4% to 35%. Guo et al. reported accuracy and precision but did not discuss threshold tuning, suggesting they used the default 0.50 cutoff.</w:t>
      </w:r>
    </w:p>
    <w:p>
      <w:pPr>
        <w:spacing w:after="60"/>
        <w:ind w:left="720"/>
      </w:pPr>
      <w:r>
        <w:rPr>
          <w:rFonts w:ascii="Times New Roman" w:hAnsi="Times New Roman"/>
          <w:sz w:val="24"/>
        </w:rPr>
        <w:t>•  LACE Index comparison: I ran a head-to-head comparison between XGBoost and the LACE Index on the same held-out test set (19,868 patients). This comparison is absent from Guo et al. and provides a practical reference point, since LACE is what many hospitals actually use today.</w:t>
      </w:r>
    </w:p>
    <w:p>
      <w:pPr>
        <w:spacing w:after="60"/>
        <w:ind w:left="720"/>
      </w:pPr>
      <w:r>
        <w:rPr>
          <w:rFonts w:ascii="Times New Roman" w:hAnsi="Times New Roman"/>
          <w:sz w:val="24"/>
        </w:rPr>
        <w:t>•  Deployment: I built and deployed a Streamlit web dashboard with real-time risk scoring, what-if analysis, and a live LACE comparison. Guo et al. did not include any deployment or user-facing component.</w:t>
      </w:r>
    </w:p>
    <w:p>
      <w:pPr>
        <w:spacing w:after="60"/>
        <w:ind w:left="720"/>
      </w:pPr>
      <w:r>
        <w:rPr>
          <w:rFonts w:ascii="Times New Roman" w:hAnsi="Times New Roman"/>
          <w:sz w:val="24"/>
        </w:rPr>
        <w:t>•  Second-ranked feature: My PFI ranked discharge_disposition_id as the second most important feature, while Guo et al. found number_emergency in that position. Both make clinical sense, and the difference is probably due to the different models and preprocessing steps.</w:t>
      </w:r>
    </w:p>
    <w:p>
      <w:pPr>
        <w:spacing w:after="120"/>
      </w:pPr>
      <w:r>
        <w:rPr>
          <w:rFonts w:ascii="Times New Roman" w:hAnsi="Times New Roman"/>
          <w:sz w:val="24"/>
        </w:rPr>
        <w:t>In short, both projects confirm that prior inpatient visits and discharge disposition are the strongest predictors of 30-day readmission, and that PFI and PDP work well for understanding what the model is doing. My project goes further with threshold tuning, the LACE benchmark, and a deployed dashboard.</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how it went:</w:t>
      </w:r>
    </w:p>
    <w:p>
      <w:pPr>
        <w:spacing w:after="120"/>
      </w:pPr>
      <w:r>
        <w:rPr>
          <w:rFonts w:ascii="Times New Roman" w:hAnsi="Times New Roman"/>
          <w:sz w:val="24"/>
        </w:rPr>
        <w:t>I built a full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This makes sense clinically: patients who have been hospitalized before are more likely to come back, and where a patient goes after discharge (home, skilled nursing facility, etc.) strongly affects their readmission risk. This lines up with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This shows that an ML model with more features can separate the classes better, but LACE is still useful because it is simple and easy to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pPr>
        <w:spacing w:after="120"/>
      </w:pPr>
      <w:r>
        <w:rPr>
          <w:rFonts w:ascii="Times New Roman" w:hAnsi="Times New Roman"/>
          <w:sz w:val="24"/>
        </w:rPr>
        <w:t>It is worth noting that the ROC-AUC of 0.6648, while moderate, is in line with the broader literature. Huang et al. [2022] reviewed 43 U.S.-based readmission studies and reported a median AUC of 0.68. Readmission depends on many factors not captured in structured hospital data, such as social support, patient compliance, and living conditions, so there is a ceiling on how well any model trained on EHR data alone can perform.</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The project met its goals, but there are a few areas that could be improved or extended:</w:t>
      </w:r>
    </w:p>
    <w:p>
      <w:pPr>
        <w:spacing w:after="60"/>
      </w:pPr>
      <w:r>
        <w:rPr>
          <w:rFonts w:ascii="Times New Roman" w:hAnsi="Times New Roman"/>
          <w:sz w:val="24"/>
        </w:rPr>
        <w:t>Constraints of the dataset and problem:</w:t>
      </w:r>
    </w:p>
    <w:p>
      <w:pPr>
        <w:spacing w:after="60"/>
        <w:ind w:left="720"/>
      </w:pPr>
      <w:r>
        <w:rPr>
          <w:rFonts w:ascii="Times New Roman" w:hAnsi="Times New Roman"/>
          <w:sz w:val="24"/>
        </w:rPr>
        <w:t>•  The dataset covers 1999 to 2008. Clinical practices, medications, and coding standards have changed a lot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give a more accurate LACE comparison.</w:t>
      </w:r>
    </w:p>
    <w:p>
      <w:pPr>
        <w:spacing w:after="60"/>
      </w:pPr>
      <w:r>
        <w:rPr>
          <w:rFonts w:ascii="Times New Roman" w:hAnsi="Times New Roman"/>
          <w:sz w:val="24"/>
        </w:rPr>
        <w:t>Possible extensions:</w:t>
      </w:r>
    </w:p>
    <w:p>
      <w:pPr>
        <w:spacing w:after="60"/>
        <w:ind w:left="720"/>
      </w:pPr>
      <w:r>
        <w:rPr>
          <w:rFonts w:ascii="Times New Roman" w:hAnsi="Times New Roman"/>
          <w:sz w:val="24"/>
        </w:rPr>
        <w:t>•  EHR integration: The dashboard currently requires manual input of patient parameters. Connecting it to a hospital's Electronic Health Record system via an API would make it usable in a real clinical workflow without manual data entry.</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