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sz w:val="24"/>
        </w:rPr>
        <w:t xml:space="preserve">    1.5 Outline of the Report</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4"/>
        </w:rPr>
        <w:t>1.5 Outline of the Report</w:t>
      </w:r>
    </w:p>
    <w:p>
      <w:pPr>
        <w:spacing w:after="120"/>
      </w:pPr>
      <w:r>
        <w:rPr>
          <w:rFonts w:ascii="Times New Roman" w:hAnsi="Times New Roman"/>
          <w:sz w:val="24"/>
        </w:rPr>
        <w:t>The remainder of this report is organized as follows. Section 2 covers background information, including previous related projects, a review of relevant techniques, and an analysis of their strengths and weaknesses. Section 3 describes the approach taken, including the data source, methodology, a worked example, and the software produced. Section 4 covers the implementation details, including the software stack, module structure, and three key code snippets. Section 5 presents the results of running the software, including model evaluation, threshold optimization, explainability analysis, the LACE comparison, and a connection to recent research. Section 6 provides conclusions, and Section 7 discusses suggestions for future research. Section 8 lists all references cited in this report.</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