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val="0"/>
          <w:sz w:val="24"/>
        </w:rPr>
      </w:r>
    </w:p>
    <w:p>
      <w:pPr>
        <w:spacing w:after="240"/>
        <w:jc w:val="center"/>
      </w:pPr>
      <w:r>
        <w:rPr>
          <w:rFonts w:ascii="Times New Roman" w:hAnsi="Times New Roman"/>
          <w:b w:val="0"/>
          <w:sz w:val="24"/>
        </w:rPr>
      </w:r>
    </w:p>
    <w:p>
      <w:pPr>
        <w:spacing w:after="240"/>
        <w:jc w:val="center"/>
      </w:pPr>
      <w:r>
        <w:rPr>
          <w:rFonts w:ascii="Times New Roman" w:hAnsi="Times New Roman"/>
          <w:b w:val="0"/>
          <w:sz w:val="24"/>
        </w:rPr>
      </w:r>
    </w:p>
    <w:p>
      <w:pPr>
        <w:spacing w:after="120"/>
        <w:jc w:val="center"/>
      </w:pPr>
      <w:r>
        <w:rPr>
          <w:rFonts w:ascii="Times New Roman" w:hAnsi="Times New Roman"/>
          <w:b/>
          <w:sz w:val="32"/>
        </w:rPr>
        <w:t>Final Project Report</w:t>
      </w:r>
    </w:p>
    <w:p>
      <w:pPr>
        <w:spacing w:after="120"/>
        <w:jc w:val="center"/>
      </w:pPr>
      <w:r>
        <w:rPr>
          <w:rFonts w:ascii="Times New Roman" w:hAnsi="Times New Roman"/>
          <w:b w:val="0"/>
          <w:sz w:val="32"/>
        </w:rPr>
        <w:t>On</w:t>
      </w:r>
    </w:p>
    <w:p>
      <w:pPr>
        <w:spacing w:after="480"/>
        <w:jc w:val="center"/>
      </w:pPr>
      <w:r>
        <w:rPr>
          <w:rFonts w:ascii="Times New Roman" w:hAnsi="Times New Roman"/>
          <w:b/>
          <w:sz w:val="32"/>
        </w:rPr>
        <w:t>Predictive Analytics and Explainable AI for Hospital Readmission Risk</w:t>
      </w:r>
    </w:p>
    <w:p>
      <w:pPr>
        <w:spacing w:after="240"/>
        <w:jc w:val="center"/>
      </w:pPr>
      <w:r>
        <w:rPr>
          <w:rFonts w:ascii="Times New Roman" w:hAnsi="Times New Roman"/>
          <w:b w:val="0"/>
          <w:sz w:val="24"/>
        </w:rPr>
      </w:r>
    </w:p>
    <w:p>
      <w:pPr>
        <w:spacing w:after="240"/>
        <w:jc w:val="center"/>
      </w:pPr>
      <w:r>
        <w:rPr>
          <w:rFonts w:ascii="Times New Roman" w:hAnsi="Times New Roman"/>
          <w:b w:val="0"/>
          <w:sz w:val="32"/>
        </w:rPr>
        <w:t>Faculty of Graduate Studies and Research</w:t>
      </w:r>
    </w:p>
    <w:p>
      <w:pPr>
        <w:spacing w:after="120"/>
        <w:jc w:val="center"/>
      </w:pPr>
      <w:r>
        <w:rPr>
          <w:rFonts w:ascii="Times New Roman" w:hAnsi="Times New Roman"/>
          <w:b w:val="0"/>
          <w:sz w:val="24"/>
        </w:rPr>
      </w:r>
    </w:p>
    <w:p>
      <w:pPr>
        <w:spacing w:after="240"/>
        <w:jc w:val="center"/>
      </w:pPr>
      <w:r>
        <w:rPr>
          <w:rFonts w:ascii="Times New Roman" w:hAnsi="Times New Roman"/>
          <w:b/>
          <w:sz w:val="32"/>
        </w:rPr>
        <w:t>CS 719 - Data Science Project</w:t>
      </w:r>
    </w:p>
    <w:p>
      <w:pPr>
        <w:spacing w:after="120"/>
        <w:jc w:val="center"/>
      </w:pPr>
      <w:r>
        <w:rPr>
          <w:rFonts w:ascii="Times New Roman" w:hAnsi="Times New Roman"/>
          <w:b w:val="0"/>
          <w:sz w:val="24"/>
        </w:rPr>
      </w:r>
    </w:p>
    <w:p>
      <w:pPr>
        <w:spacing w:after="480"/>
        <w:jc w:val="center"/>
      </w:pPr>
      <w:r>
        <w:rPr>
          <w:rFonts w:ascii="Times New Roman" w:hAnsi="Times New Roman"/>
          <w:b w:val="0"/>
          <w:sz w:val="32"/>
        </w:rPr>
        <w:t>Winter 2026</w:t>
      </w:r>
    </w:p>
    <w:p>
      <w:pPr>
        <w:spacing w:after="240"/>
        <w:jc w:val="center"/>
      </w:pPr>
      <w:r>
        <w:rPr>
          <w:rFonts w:ascii="Times New Roman" w:hAnsi="Times New Roman"/>
          <w:b w:val="0"/>
          <w:sz w:val="24"/>
        </w:rPr>
      </w:r>
    </w:p>
    <w:p>
      <w:pPr>
        <w:spacing w:after="120"/>
        <w:jc w:val="center"/>
      </w:pPr>
      <w:r>
        <w:rPr>
          <w:rFonts w:ascii="Times New Roman" w:hAnsi="Times New Roman"/>
          <w:b/>
          <w:sz w:val="32"/>
        </w:rPr>
        <w:t>Prepared By:</w:t>
      </w:r>
    </w:p>
    <w:p>
      <w:pPr>
        <w:spacing w:after="480"/>
        <w:jc w:val="center"/>
      </w:pPr>
      <w:r>
        <w:rPr>
          <w:rFonts w:ascii="Times New Roman" w:hAnsi="Times New Roman"/>
          <w:b w:val="0"/>
          <w:sz w:val="32"/>
        </w:rPr>
        <w:t>Raj Panchal [200490453]</w:t>
      </w:r>
    </w:p>
    <w:p>
      <w:pPr>
        <w:spacing w:after="240"/>
        <w:jc w:val="center"/>
      </w:pPr>
      <w:r>
        <w:rPr>
          <w:rFonts w:ascii="Times New Roman" w:hAnsi="Times New Roman"/>
          <w:b w:val="0"/>
          <w:sz w:val="24"/>
        </w:rPr>
      </w:r>
    </w:p>
    <w:p>
      <w:pPr>
        <w:spacing w:after="120"/>
        <w:jc w:val="center"/>
      </w:pPr>
      <w:r>
        <w:rPr>
          <w:rFonts w:ascii="Times New Roman" w:hAnsi="Times New Roman"/>
          <w:b/>
          <w:sz w:val="32"/>
        </w:rPr>
        <w:t>Instructor:</w:t>
      </w:r>
    </w:p>
    <w:p>
      <w:pPr>
        <w:spacing w:after="120"/>
        <w:jc w:val="center"/>
      </w:pPr>
      <w:r>
        <w:rPr>
          <w:rFonts w:ascii="Times New Roman" w:hAnsi="Times New Roman"/>
          <w:b w:val="0"/>
          <w:sz w:val="32"/>
        </w:rPr>
        <w:t>Howard J. Hamilton</w:t>
      </w:r>
    </w:p>
    <w:p>
      <w:r>
        <w:br w:type="page"/>
      </w:r>
    </w:p>
    <w:p>
      <w:pPr>
        <w:jc w:val="center"/>
      </w:pPr>
      <w:r>
        <w:rPr>
          <w:rFonts w:ascii="Times New Roman" w:hAnsi="Times New Roman"/>
          <w:b/>
          <w:sz w:val="28"/>
        </w:rPr>
        <w:t>Table of Contents</w:t>
      </w:r>
    </w:p>
    <w:p/>
    <w:p>
      <w:pPr>
        <w:spacing w:after="40"/>
      </w:pPr>
      <w:r>
        <w:rPr>
          <w:rFonts w:ascii="Times New Roman" w:hAnsi="Times New Roman"/>
          <w:b/>
          <w:sz w:val="24"/>
        </w:rPr>
        <w:t>1. Introduction</w:t>
      </w:r>
    </w:p>
    <w:p>
      <w:pPr>
        <w:spacing w:after="40"/>
      </w:pPr>
      <w:r>
        <w:rPr>
          <w:rFonts w:ascii="Times New Roman" w:hAnsi="Times New Roman"/>
          <w:sz w:val="24"/>
        </w:rPr>
        <w:t xml:space="preserve">    1.1 Main Idea of the Project</w:t>
      </w:r>
    </w:p>
    <w:p>
      <w:pPr>
        <w:spacing w:after="40"/>
      </w:pPr>
      <w:r>
        <w:rPr>
          <w:rFonts w:ascii="Times New Roman" w:hAnsi="Times New Roman"/>
          <w:sz w:val="24"/>
        </w:rPr>
        <w:t xml:space="preserve">    1.2 Type of Research Problem</w:t>
      </w:r>
    </w:p>
    <w:p>
      <w:pPr>
        <w:spacing w:after="40"/>
      </w:pPr>
      <w:r>
        <w:rPr>
          <w:rFonts w:ascii="Times New Roman" w:hAnsi="Times New Roman"/>
          <w:sz w:val="24"/>
        </w:rPr>
        <w:t xml:space="preserve">    1.3 Problem Specification</w:t>
      </w:r>
    </w:p>
    <w:p>
      <w:pPr>
        <w:spacing w:after="40"/>
      </w:pPr>
      <w:r>
        <w:rPr>
          <w:rFonts w:ascii="Times New Roman" w:hAnsi="Times New Roman"/>
          <w:sz w:val="24"/>
        </w:rPr>
        <w:t xml:space="preserve">    1.4 Why It Is Useful</w:t>
      </w:r>
    </w:p>
    <w:p>
      <w:pPr>
        <w:spacing w:after="40"/>
      </w:pPr>
      <w:r>
        <w:rPr>
          <w:rFonts w:ascii="Times New Roman" w:hAnsi="Times New Roman"/>
          <w:sz w:val="24"/>
        </w:rPr>
        <w:t xml:space="preserve">    1.5 Outline of the Report</w:t>
      </w:r>
    </w:p>
    <w:p>
      <w:pPr>
        <w:spacing w:after="40"/>
      </w:pPr>
      <w:r>
        <w:rPr>
          <w:rFonts w:ascii="Times New Roman" w:hAnsi="Times New Roman"/>
          <w:b/>
          <w:sz w:val="24"/>
        </w:rPr>
        <w:t>2. Background</w:t>
      </w:r>
    </w:p>
    <w:p>
      <w:pPr>
        <w:spacing w:after="40"/>
      </w:pPr>
      <w:r>
        <w:rPr>
          <w:rFonts w:ascii="Times New Roman" w:hAnsi="Times New Roman"/>
          <w:sz w:val="24"/>
        </w:rPr>
        <w:t xml:space="preserve">    2.1 Previous Related Projects</w:t>
      </w:r>
    </w:p>
    <w:p>
      <w:pPr>
        <w:spacing w:after="40"/>
      </w:pPr>
      <w:r>
        <w:rPr>
          <w:rFonts w:ascii="Times New Roman" w:hAnsi="Times New Roman"/>
          <w:sz w:val="24"/>
        </w:rPr>
        <w:t xml:space="preserve">    2.2 Existing Techniques Relevant to the Project</w:t>
      </w:r>
    </w:p>
    <w:p>
      <w:pPr>
        <w:spacing w:after="40"/>
      </w:pPr>
      <w:r>
        <w:rPr>
          <w:rFonts w:ascii="Times New Roman" w:hAnsi="Times New Roman"/>
          <w:sz w:val="24"/>
        </w:rPr>
        <w:t xml:space="preserve">    2.3 Analysis of Strengths and Weaknesses</w:t>
      </w:r>
    </w:p>
    <w:p>
      <w:pPr>
        <w:spacing w:after="40"/>
      </w:pPr>
      <w:r>
        <w:rPr>
          <w:rFonts w:ascii="Times New Roman" w:hAnsi="Times New Roman"/>
          <w:sz w:val="24"/>
        </w:rPr>
        <w:t xml:space="preserve">    2.4 Learning Resources</w:t>
      </w:r>
    </w:p>
    <w:p>
      <w:pPr>
        <w:spacing w:after="40"/>
      </w:pPr>
      <w:r>
        <w:rPr>
          <w:rFonts w:ascii="Times New Roman" w:hAnsi="Times New Roman"/>
          <w:b/>
          <w:sz w:val="24"/>
        </w:rPr>
        <w:t>3. Approach</w:t>
      </w:r>
    </w:p>
    <w:p>
      <w:pPr>
        <w:spacing w:after="40"/>
      </w:pPr>
      <w:r>
        <w:rPr>
          <w:rFonts w:ascii="Times New Roman" w:hAnsi="Times New Roman"/>
          <w:sz w:val="24"/>
        </w:rPr>
        <w:t xml:space="preserve">    3.1 Data Source</w:t>
      </w:r>
    </w:p>
    <w:p>
      <w:pPr>
        <w:spacing w:after="40"/>
      </w:pPr>
      <w:r>
        <w:rPr>
          <w:rFonts w:ascii="Times New Roman" w:hAnsi="Times New Roman"/>
          <w:sz w:val="24"/>
        </w:rPr>
        <w:t xml:space="preserve">    3.2 Methodology</w:t>
      </w:r>
    </w:p>
    <w:p>
      <w:pPr>
        <w:spacing w:after="40"/>
      </w:pPr>
      <w:r>
        <w:rPr>
          <w:rFonts w:ascii="Times New Roman" w:hAnsi="Times New Roman"/>
          <w:sz w:val="24"/>
        </w:rPr>
        <w:t xml:space="preserve">    3.3 Worked Example</w:t>
      </w:r>
    </w:p>
    <w:p>
      <w:pPr>
        <w:spacing w:after="40"/>
      </w:pPr>
      <w:r>
        <w:rPr>
          <w:rFonts w:ascii="Times New Roman" w:hAnsi="Times New Roman"/>
          <w:sz w:val="24"/>
        </w:rPr>
        <w:t xml:space="preserve">    3.4 Software Description</w:t>
      </w:r>
    </w:p>
    <w:p>
      <w:pPr>
        <w:spacing w:after="40"/>
      </w:pPr>
      <w:r>
        <w:rPr>
          <w:rFonts w:ascii="Times New Roman" w:hAnsi="Times New Roman"/>
          <w:sz w:val="24"/>
        </w:rPr>
        <w:t xml:space="preserve">    3.5 Processing Time and Space</w:t>
      </w:r>
    </w:p>
    <w:p>
      <w:pPr>
        <w:spacing w:after="40"/>
      </w:pPr>
      <w:r>
        <w:rPr>
          <w:rFonts w:ascii="Times New Roman" w:hAnsi="Times New Roman"/>
          <w:b/>
          <w:sz w:val="24"/>
        </w:rPr>
        <w:t>4. Implementation</w:t>
      </w:r>
    </w:p>
    <w:p>
      <w:pPr>
        <w:spacing w:after="40"/>
      </w:pPr>
      <w:r>
        <w:rPr>
          <w:rFonts w:ascii="Times New Roman" w:hAnsi="Times New Roman"/>
          <w:sz w:val="24"/>
        </w:rPr>
        <w:t xml:space="preserve">    4.1 Software Stack and Versions</w:t>
      </w:r>
    </w:p>
    <w:p>
      <w:pPr>
        <w:spacing w:after="40"/>
      </w:pPr>
      <w:r>
        <w:rPr>
          <w:rFonts w:ascii="Times New Roman" w:hAnsi="Times New Roman"/>
          <w:sz w:val="24"/>
        </w:rPr>
        <w:t xml:space="preserve">    4.2 Module Structure</w:t>
      </w:r>
    </w:p>
    <w:p>
      <w:pPr>
        <w:spacing w:after="40"/>
      </w:pPr>
      <w:r>
        <w:rPr>
          <w:rFonts w:ascii="Times New Roman" w:hAnsi="Times New Roman"/>
          <w:sz w:val="24"/>
        </w:rPr>
        <w:t xml:space="preserve">    4.3 Three Crucial Code Snippets</w:t>
      </w:r>
    </w:p>
    <w:p>
      <w:pPr>
        <w:spacing w:after="40"/>
      </w:pPr>
      <w:r>
        <w:rPr>
          <w:rFonts w:ascii="Times New Roman" w:hAnsi="Times New Roman"/>
          <w:b/>
          <w:sz w:val="24"/>
        </w:rPr>
        <w:t>5. Results of Running Software</w:t>
      </w:r>
    </w:p>
    <w:p>
      <w:pPr>
        <w:spacing w:after="40"/>
      </w:pPr>
      <w:r>
        <w:rPr>
          <w:rFonts w:ascii="Times New Roman" w:hAnsi="Times New Roman"/>
          <w:sz w:val="24"/>
        </w:rPr>
        <w:t xml:space="preserve">    5.1 Dataset and Experiments</w:t>
      </w:r>
    </w:p>
    <w:p>
      <w:pPr>
        <w:spacing w:after="40"/>
      </w:pPr>
      <w:r>
        <w:rPr>
          <w:rFonts w:ascii="Times New Roman" w:hAnsi="Times New Roman"/>
          <w:sz w:val="24"/>
        </w:rPr>
        <w:t xml:space="preserve">    5.2 Model Training and Evaluation</w:t>
      </w:r>
    </w:p>
    <w:p>
      <w:pPr>
        <w:spacing w:after="40"/>
      </w:pPr>
      <w:r>
        <w:rPr>
          <w:rFonts w:ascii="Times New Roman" w:hAnsi="Times New Roman"/>
          <w:sz w:val="24"/>
        </w:rPr>
        <w:t xml:space="preserve">    5.3 Threshold Optimization</w:t>
      </w:r>
    </w:p>
    <w:p>
      <w:pPr>
        <w:spacing w:after="40"/>
      </w:pPr>
      <w:r>
        <w:rPr>
          <w:rFonts w:ascii="Times New Roman" w:hAnsi="Times New Roman"/>
          <w:sz w:val="24"/>
        </w:rPr>
        <w:t xml:space="preserve">    5.4 Explainability Results</w:t>
      </w:r>
    </w:p>
    <w:p>
      <w:pPr>
        <w:spacing w:after="40"/>
      </w:pPr>
      <w:r>
        <w:rPr>
          <w:rFonts w:ascii="Times New Roman" w:hAnsi="Times New Roman"/>
          <w:sz w:val="24"/>
        </w:rPr>
        <w:t xml:space="preserve">    5.5 LACE Index vs. XGBoost Comparison</w:t>
      </w:r>
    </w:p>
    <w:p>
      <w:pPr>
        <w:spacing w:after="40"/>
      </w:pPr>
      <w:r>
        <w:rPr>
          <w:rFonts w:ascii="Times New Roman" w:hAnsi="Times New Roman"/>
          <w:sz w:val="24"/>
        </w:rPr>
        <w:t xml:space="preserve">    5.6 Streamlit Dashboard</w:t>
      </w:r>
    </w:p>
    <w:p>
      <w:pPr>
        <w:spacing w:after="40"/>
      </w:pPr>
      <w:r>
        <w:rPr>
          <w:rFonts w:ascii="Times New Roman" w:hAnsi="Times New Roman"/>
          <w:sz w:val="24"/>
        </w:rPr>
        <w:t xml:space="preserve">    5.7 Connection to Recent Research</w:t>
      </w:r>
    </w:p>
    <w:p>
      <w:pPr>
        <w:spacing w:after="40"/>
      </w:pPr>
      <w:r>
        <w:rPr>
          <w:rFonts w:ascii="Times New Roman" w:hAnsi="Times New Roman"/>
          <w:b/>
          <w:sz w:val="24"/>
        </w:rPr>
        <w:t>6. Conclusions</w:t>
      </w:r>
    </w:p>
    <w:p>
      <w:pPr>
        <w:spacing w:after="40"/>
      </w:pPr>
      <w:r>
        <w:rPr>
          <w:rFonts w:ascii="Times New Roman" w:hAnsi="Times New Roman"/>
          <w:b/>
          <w:sz w:val="24"/>
        </w:rPr>
        <w:t>7. Suggestions for Future Research</w:t>
      </w:r>
    </w:p>
    <w:p>
      <w:pPr>
        <w:spacing w:after="40"/>
      </w:pPr>
      <w:r>
        <w:rPr>
          <w:rFonts w:ascii="Times New Roman" w:hAnsi="Times New Roman"/>
          <w:b/>
          <w:sz w:val="24"/>
        </w:rPr>
        <w:t>8. References</w:t>
      </w:r>
    </w:p>
    <w:p>
      <w:r>
        <w:br w:type="page"/>
      </w:r>
    </w:p>
    <w:p>
      <w:pPr>
        <w:spacing w:before="240" w:after="120"/>
      </w:pPr>
      <w:r>
        <w:rPr>
          <w:rFonts w:ascii="Times New Roman" w:hAnsi="Times New Roman"/>
          <w:b/>
          <w:sz w:val="28"/>
        </w:rPr>
        <w:t>1. Introduction</w:t>
      </w:r>
    </w:p>
    <w:p>
      <w:pPr>
        <w:spacing w:before="240" w:after="120"/>
      </w:pPr>
      <w:r>
        <w:rPr>
          <w:rFonts w:ascii="Times New Roman" w:hAnsi="Times New Roman"/>
          <w:b/>
          <w:sz w:val="24"/>
        </w:rPr>
        <w:t>1.1 Main Idea of the Project</w:t>
      </w:r>
    </w:p>
    <w:p>
      <w:pPr>
        <w:spacing w:after="120"/>
      </w:pPr>
      <w:r>
        <w:rPr>
          <w:rFonts w:ascii="Times New Roman" w:hAnsi="Times New Roman"/>
          <w:sz w:val="24"/>
        </w:rPr>
        <w:t>Hospital readmissions within 30 days are a major concern for healthcare systems worldwide, as they indicate gaps in quality of care and significantly increase healthcare costs. According to the Centers for Medicare and Medicaid Services (CMS), preventable readmissions cost the U.S. healthcare system over $26 billion annually, and hospitals face financial penalties under the Hospital Readmissions Reduction Program for excessive 30-day readmission rates.</w:t>
      </w:r>
    </w:p>
    <w:p>
      <w:pPr>
        <w:spacing w:after="120"/>
      </w:pPr>
      <w:r>
        <w:rPr>
          <w:rFonts w:ascii="Times New Roman" w:hAnsi="Times New Roman"/>
          <w:sz w:val="24"/>
        </w:rPr>
        <w:t>This project focused on developing a predictive analytics framework to estimate the risk of 30-day hospital readmission for diabetic patients using the Diabetes 130-US Hospitals dataset, which contains 101,766 patient encounters collected from 130 U.S. hospitals between 1999 and 2008. The central idea was to combine classical machine learning models with model-agnostic explainability techniques, specifically Permutation Feature Importance (PFI) and Partial Dependence Plots (PDP), to make the predictions understandable to non-technical stakeholders such as clinicians and healthcare administrators.</w:t>
      </w:r>
    </w:p>
    <w:p>
      <w:pPr>
        <w:spacing w:after="120"/>
      </w:pPr>
      <w:r>
        <w:rPr>
          <w:rFonts w:ascii="Times New Roman" w:hAnsi="Times New Roman"/>
          <w:sz w:val="24"/>
        </w:rPr>
        <w:t>Beyond building a predictive model, I also implemented a head-to-head comparison between the trained XGBoost model and the LACE Index, a rule-based scoring system widely used in Canadian hospitals for readmission risk assessment [van Walraven et al., 2010]. Both methods were evaluated on the same held-out test set using the same ground truth labels, making the comparison direct and fair.</w:t>
      </w:r>
    </w:p>
    <w:p>
      <w:pPr>
        <w:spacing w:before="240" w:after="120"/>
      </w:pPr>
      <w:r>
        <w:rPr>
          <w:rFonts w:ascii="Times New Roman" w:hAnsi="Times New Roman"/>
          <w:b/>
          <w:sz w:val="24"/>
        </w:rPr>
        <w:t>1.2 Type of Research Problem</w:t>
      </w:r>
    </w:p>
    <w:p>
      <w:pPr>
        <w:spacing w:after="120"/>
      </w:pPr>
      <w:r>
        <w:rPr>
          <w:rFonts w:ascii="Times New Roman" w:hAnsi="Times New Roman"/>
          <w:sz w:val="24"/>
        </w:rPr>
        <w:t>This project addresses a supervised binary classification problem in applied data science. Given historical patient encounter data, the task was to predict whether a patient would be readmitted to the hospital within 30 days of discharge. The target variable was derived from the original three-class label (readmitted in less than 30 days, more than 30 days, or not readmitted) by converting it into a binary outcome: 1 for readmitted within 30 days and 0 for everything else.</w:t>
      </w:r>
    </w:p>
    <w:p>
      <w:pPr>
        <w:spacing w:after="120"/>
      </w:pPr>
      <w:r>
        <w:rPr>
          <w:rFonts w:ascii="Times New Roman" w:hAnsi="Times New Roman"/>
          <w:sz w:val="24"/>
        </w:rPr>
        <w:t>Rather than proposing a new algorithm, the project focused on practical, industry-oriented data science workflows commonly used in healthcare analytics, including real-world data preprocessing, model development and evaluation, threshold optimization for clinical utility, and explainability of predictions.</w:t>
      </w:r>
    </w:p>
    <w:p>
      <w:pPr>
        <w:spacing w:before="240" w:after="120"/>
      </w:pPr>
      <w:r>
        <w:rPr>
          <w:rFonts w:ascii="Times New Roman" w:hAnsi="Times New Roman"/>
          <w:b/>
          <w:sz w:val="24"/>
        </w:rPr>
        <w:t>1.3 Problem Specification</w:t>
      </w:r>
    </w:p>
    <w:p>
      <w:pPr>
        <w:spacing w:after="60"/>
      </w:pPr>
      <w:r>
        <w:rPr>
          <w:rFonts w:ascii="Times New Roman" w:hAnsi="Times New Roman"/>
          <w:sz w:val="24"/>
        </w:rPr>
        <w:t>Input:</w:t>
      </w:r>
    </w:p>
    <w:p>
      <w:pPr>
        <w:spacing w:after="60"/>
        <w:ind w:left="720"/>
      </w:pPr>
      <w:r>
        <w:rPr>
          <w:rFonts w:ascii="Times New Roman" w:hAnsi="Times New Roman"/>
          <w:sz w:val="24"/>
        </w:rPr>
        <w:t>•  The Diabetes 130-US Hospitals dataset containing structured tabular data with 50 features</w:t>
      </w:r>
    </w:p>
    <w:p>
      <w:pPr>
        <w:spacing w:after="60"/>
        <w:ind w:left="720"/>
      </w:pPr>
      <w:r>
        <w:rPr>
          <w:rFonts w:ascii="Times New Roman" w:hAnsi="Times New Roman"/>
          <w:sz w:val="24"/>
        </w:rPr>
        <w:t>•  Patient demographics, admission details, ICD-9 diagnosis codes, medications, and hospital utilization variables</w:t>
      </w:r>
    </w:p>
    <w:p>
      <w:pPr>
        <w:spacing w:after="60"/>
      </w:pPr>
      <w:r>
        <w:rPr>
          <w:rFonts w:ascii="Times New Roman" w:hAnsi="Times New Roman"/>
          <w:sz w:val="24"/>
        </w:rPr>
        <w:t>Output:</w:t>
      </w:r>
    </w:p>
    <w:p>
      <w:pPr>
        <w:spacing w:after="60"/>
        <w:ind w:left="720"/>
      </w:pPr>
      <w:r>
        <w:rPr>
          <w:rFonts w:ascii="Times New Roman" w:hAnsi="Times New Roman"/>
          <w:sz w:val="24"/>
        </w:rPr>
        <w:t>•  A binary prediction (0 = not readmitted within 30 days, 1 = readmitted within 30 days)</w:t>
      </w:r>
    </w:p>
    <w:p>
      <w:pPr>
        <w:spacing w:after="60"/>
        <w:ind w:left="720"/>
      </w:pPr>
      <w:r>
        <w:rPr>
          <w:rFonts w:ascii="Times New Roman" w:hAnsi="Times New Roman"/>
          <w:sz w:val="24"/>
        </w:rPr>
        <w:t>•  Model evaluation metrics: Accuracy, Precision, Recall, F1-score, and ROC-AUC</w:t>
      </w:r>
    </w:p>
    <w:p>
      <w:pPr>
        <w:spacing w:after="60"/>
        <w:ind w:left="720"/>
      </w:pPr>
      <w:r>
        <w:rPr>
          <w:rFonts w:ascii="Times New Roman" w:hAnsi="Times New Roman"/>
          <w:sz w:val="24"/>
        </w:rPr>
        <w:t>•  Feature importance rankings using Permutation Feature Importance (PFI)</w:t>
      </w:r>
    </w:p>
    <w:p>
      <w:pPr>
        <w:spacing w:after="60"/>
        <w:ind w:left="720"/>
      </w:pPr>
      <w:r>
        <w:rPr>
          <w:rFonts w:ascii="Times New Roman" w:hAnsi="Times New Roman"/>
          <w:sz w:val="24"/>
        </w:rPr>
        <w:t>•  Partial Dependence Plots showing how key features influence readmission risk</w:t>
      </w:r>
    </w:p>
    <w:p>
      <w:pPr>
        <w:spacing w:after="60"/>
        <w:ind w:left="720"/>
      </w:pPr>
      <w:r>
        <w:rPr>
          <w:rFonts w:ascii="Times New Roman" w:hAnsi="Times New Roman"/>
          <w:sz w:val="24"/>
        </w:rPr>
        <w:t>•  LACE Index scores for every test patient, compared directly against the ML model</w:t>
      </w:r>
    </w:p>
    <w:p>
      <w:pPr>
        <w:spacing w:after="60"/>
        <w:ind w:left="720"/>
      </w:pPr>
      <w:r>
        <w:rPr>
          <w:rFonts w:ascii="Times New Roman" w:hAnsi="Times New Roman"/>
          <w:sz w:val="24"/>
        </w:rPr>
        <w:t>•  An interactive Streamlit dashboard for real-time patient risk assessment</w:t>
      </w:r>
    </w:p>
    <w:p>
      <w:pPr>
        <w:spacing w:before="240" w:after="120"/>
      </w:pPr>
      <w:r>
        <w:rPr>
          <w:rFonts w:ascii="Times New Roman" w:hAnsi="Times New Roman"/>
          <w:b/>
          <w:sz w:val="24"/>
        </w:rPr>
        <w:t>1.4 Why It Is Useful</w:t>
      </w:r>
    </w:p>
    <w:p>
      <w:pPr>
        <w:spacing w:after="120"/>
      </w:pPr>
      <w:r>
        <w:rPr>
          <w:rFonts w:ascii="Times New Roman" w:hAnsi="Times New Roman"/>
          <w:sz w:val="24"/>
        </w:rPr>
        <w:t>Predicting hospital readmissions has direct clinical value. If a hospital can identify patients at high risk of returning within 30 days, it can allocate resources for targeted follow-up care, such as post-discharge phone calls, medication reviews, or outpatient appointments. Missing a high-risk patient is far more costly than a false alarm: a flagged patient simply gets extra follow-up, while a missed one may end up back in the emergency room.</w:t>
      </w:r>
    </w:p>
    <w:p>
      <w:pPr>
        <w:spacing w:after="120"/>
      </w:pPr>
      <w:r>
        <w:rPr>
          <w:rFonts w:ascii="Times New Roman" w:hAnsi="Times New Roman"/>
          <w:sz w:val="24"/>
        </w:rPr>
        <w:t>The explainability component is equally important. Clinicians are unlikely to trust a model that just outputs a number without explaining why. By showing which features drove each prediction and how they compare to the population average, the system provides transparency that supports informed decision-making rather than blind reliance on a black box.</w:t>
      </w:r>
    </w:p>
    <w:p>
      <w:pPr>
        <w:spacing w:before="240" w:after="120"/>
      </w:pPr>
      <w:r>
        <w:rPr>
          <w:rFonts w:ascii="Times New Roman" w:hAnsi="Times New Roman"/>
          <w:b/>
          <w:sz w:val="24"/>
        </w:rPr>
        <w:t>1.5 Outline of the Report</w:t>
      </w:r>
    </w:p>
    <w:p>
      <w:pPr>
        <w:spacing w:after="120"/>
      </w:pPr>
      <w:r>
        <w:rPr>
          <w:rFonts w:ascii="Times New Roman" w:hAnsi="Times New Roman"/>
          <w:sz w:val="24"/>
        </w:rPr>
        <w:t>The remainder of this report is organized as follows. Section 2 covers background information, including previous related projects, a review of relevant techniques, and an analysis of their strengths and weaknesses. Section 3 describes the approach taken, including the data source, methodology, a worked example, and the software produced. Section 4 covers the implementation details, including the software stack, module structure, and three crucial code snippets. Section 5 presents the results of running the software, including model evaluation, threshold optimization, explainability analysis, the LACE comparison, and a connection to recent research. Section 6 provides conclusions, and Section 7 discusses suggestions for future research. Section 8 lists all references cited in this report.</w:t>
      </w:r>
    </w:p>
    <w:p>
      <w:pPr>
        <w:spacing w:before="240" w:after="120"/>
      </w:pPr>
      <w:r>
        <w:rPr>
          <w:rFonts w:ascii="Times New Roman" w:hAnsi="Times New Roman"/>
          <w:b/>
          <w:sz w:val="28"/>
        </w:rPr>
        <w:t>2. Background</w:t>
      </w:r>
    </w:p>
    <w:p>
      <w:pPr>
        <w:spacing w:before="240" w:after="120"/>
      </w:pPr>
      <w:r>
        <w:rPr>
          <w:rFonts w:ascii="Times New Roman" w:hAnsi="Times New Roman"/>
          <w:b/>
          <w:sz w:val="24"/>
        </w:rPr>
        <w:t>2.1 Previous Related Projects</w:t>
      </w:r>
    </w:p>
    <w:p>
      <w:pPr>
        <w:spacing w:after="120"/>
      </w:pPr>
      <w:r>
        <w:rPr>
          <w:rFonts w:ascii="Times New Roman" w:hAnsi="Times New Roman"/>
          <w:sz w:val="24"/>
        </w:rPr>
        <w:t>In a previous graduate course (CS 715), I completed a project on "Enhanced Face Generation and Image Quality Improvement Using Deep Convolutional Generative Adversarial Networks (DCGANs)." That project involved building and training a DCGAN architecture on a face image dataset, evaluating the quality of generated images using metrics such as Inception Score and FID, and analyzing the training dynamics of the generator and discriminator networks.</w:t>
      </w:r>
    </w:p>
    <w:p>
      <w:pPr>
        <w:spacing w:after="120"/>
      </w:pPr>
      <w:r>
        <w:rPr>
          <w:rFonts w:ascii="Times New Roman" w:hAnsi="Times New Roman"/>
          <w:sz w:val="24"/>
        </w:rPr>
        <w:t>While the domain was different (computer vision vs. healthcare analytics), several skills transferred directly to the current project: data preprocessing and cleaning, model training and hyperparameter tuning, evaluation metric selection, and the use of Python libraries such as NumPy, Pandas, and Matplotlib. The CS 715 project also reinforced the importance of clearly presenting results through visualizations and structured analysis, which I applied extensively in this project.</w:t>
      </w:r>
    </w:p>
    <w:p>
      <w:pPr>
        <w:spacing w:after="120"/>
      </w:pPr>
      <w:r>
        <w:rPr>
          <w:rFonts w:ascii="Times New Roman" w:hAnsi="Times New Roman"/>
          <w:sz w:val="24"/>
        </w:rPr>
        <w:t>This project extended my prior experience by explicitly focusing on interpretable machine learning, which is critical in healthcare applications where trust and transparency are essential. Unlike image generation where visual inspection suffices, clinical predictions require explanations that a doctor can understand and act on.</w:t>
      </w:r>
    </w:p>
    <w:p>
      <w:pPr>
        <w:spacing w:before="240" w:after="120"/>
      </w:pPr>
      <w:r>
        <w:rPr>
          <w:rFonts w:ascii="Times New Roman" w:hAnsi="Times New Roman"/>
          <w:b/>
          <w:sz w:val="24"/>
        </w:rPr>
        <w:t>2.2 Existing Techniques Relevant to the Project</w:t>
      </w:r>
    </w:p>
    <w:p>
      <w:pPr>
        <w:spacing w:after="120"/>
      </w:pPr>
      <w:r>
        <w:rPr>
          <w:rFonts w:ascii="Times New Roman" w:hAnsi="Times New Roman"/>
          <w:sz w:val="24"/>
        </w:rPr>
        <w:t>Several machine learning and explainability techniques were relevant to this project. I reviewed each of these before deciding which to use, drawing on course material from CS 719, the scikit-learn documentation [Pedregosa et al., 2011], and the textbook "Interpretable Machine Learning" by Christoph Molnar [Molnar, 2022].</w:t>
      </w:r>
    </w:p>
    <w:p>
      <w:pPr>
        <w:spacing w:after="80"/>
      </w:pPr>
      <w:r>
        <w:rPr>
          <w:rFonts w:ascii="Times New Roman" w:hAnsi="Times New Roman"/>
          <w:b/>
          <w:sz w:val="24"/>
        </w:rPr>
        <w:t>Logistic Regression</w:t>
      </w:r>
    </w:p>
    <w:p>
      <w:pPr>
        <w:spacing w:after="120"/>
      </w:pPr>
      <w:r>
        <w:rPr>
          <w:rFonts w:ascii="Times New Roman" w:hAnsi="Times New Roman"/>
          <w:sz w:val="24"/>
        </w:rPr>
        <w:t>Logistic Regression is a linear classifier that models the probability of a binary outcome as a logistic function of the input features. It is inherently interpretable because its coefficients directly indicate the direction and magnitude of each feature's influence. However, it assumes a linear relationship between features and the log-odds of the outcome, which limits its ability to capture complex patterns in the data. I used it as a baseline model to compare against more complex classifiers.</w:t>
      </w:r>
    </w:p>
    <w:p>
      <w:pPr>
        <w:spacing w:after="80"/>
      </w:pPr>
      <w:r>
        <w:rPr>
          <w:rFonts w:ascii="Times New Roman" w:hAnsi="Times New Roman"/>
          <w:b/>
          <w:sz w:val="24"/>
        </w:rPr>
        <w:t>Random Forest</w:t>
      </w:r>
    </w:p>
    <w:p>
      <w:pPr>
        <w:spacing w:after="120"/>
      </w:pPr>
      <w:r>
        <w:rPr>
          <w:rFonts w:ascii="Times New Roman" w:hAnsi="Times New Roman"/>
          <w:sz w:val="24"/>
        </w:rPr>
        <w:t>Random Forest is an ensemble method that trains multiple decision trees on random subsets of the data and features, then averages their predictions [Pedregosa et al., 2011]. It handles non-linearity and feature interactions well and is relatively resistant to overfitting. The downside is that the ensemble of hundreds of trees is difficult to interpret directly, which is why post-hoc explainability techniques like PFI are needed.</w:t>
      </w:r>
    </w:p>
    <w:p>
      <w:pPr>
        <w:spacing w:after="80"/>
      </w:pPr>
      <w:r>
        <w:rPr>
          <w:rFonts w:ascii="Times New Roman" w:hAnsi="Times New Roman"/>
          <w:b/>
          <w:sz w:val="24"/>
        </w:rPr>
        <w:t>XGBoost (Extreme Gradient Boosting)</w:t>
      </w:r>
    </w:p>
    <w:p>
      <w:pPr>
        <w:spacing w:after="120"/>
      </w:pPr>
      <w:r>
        <w:rPr>
          <w:rFonts w:ascii="Times New Roman" w:hAnsi="Times New Roman"/>
          <w:sz w:val="24"/>
        </w:rPr>
        <w:t>XGBoost is a gradient boosting framework that builds trees sequentially, where each new tree corrects the errors of the previous ones [Chen and Guestrin, 2016]. It is widely used in data science competitions and applied research because of its strong performance on structured tabular data. Like Random Forest, it is a black-box model, but its predictions can be explained using techniques like PFI and PDP. I selected XGBoost as one of the three candidate models because of its known effectiveness on healthcare datasets.</w:t>
      </w:r>
    </w:p>
    <w:p>
      <w:pPr>
        <w:spacing w:after="80"/>
      </w:pPr>
      <w:r>
        <w:rPr>
          <w:rFonts w:ascii="Times New Roman" w:hAnsi="Times New Roman"/>
          <w:b/>
          <w:sz w:val="24"/>
        </w:rPr>
        <w:t>SMOTE (Synthetic Minority Over-sampling Technique)</w:t>
      </w:r>
    </w:p>
    <w:p>
      <w:pPr>
        <w:spacing w:after="120"/>
      </w:pPr>
      <w:r>
        <w:rPr>
          <w:rFonts w:ascii="Times New Roman" w:hAnsi="Times New Roman"/>
          <w:sz w:val="24"/>
        </w:rPr>
        <w:t>SMOTE addresses class imbalance by generating synthetic samples of the minority class rather than simply duplicating existing ones [Chawla et al., 2002]. It works by interpolating between existing minority-class samples and their nearest neighbors. I applied SMOTE only to the training set (not the test set) to avoid data leakage, which is a common mistake in readmission prediction studies as noted by Guo et al. [2025].</w:t>
      </w:r>
    </w:p>
    <w:p>
      <w:pPr>
        <w:spacing w:after="80"/>
      </w:pPr>
      <w:r>
        <w:rPr>
          <w:rFonts w:ascii="Times New Roman" w:hAnsi="Times New Roman"/>
          <w:b/>
          <w:sz w:val="24"/>
        </w:rPr>
        <w:t>Permutation Feature Importance (PFI)</w:t>
      </w:r>
    </w:p>
    <w:p>
      <w:pPr>
        <w:spacing w:after="120"/>
      </w:pPr>
      <w:r>
        <w:rPr>
          <w:rFonts w:ascii="Times New Roman" w:hAnsi="Times New Roman"/>
          <w:sz w:val="24"/>
        </w:rPr>
        <w:t>PFI measures the importance of each feature by randomly shuffling its values and observing how much the model's performance drops [Molnar, 2022]. A large drop means the feature is important. PFI is model-agnostic, meaning it works with any classifier, and it measures importance on the actual test set rather than relying on training-time statistics. I used PFI scored on ROC-AUC to identify the top predictors of readmission.</w:t>
      </w:r>
    </w:p>
    <w:p>
      <w:pPr>
        <w:spacing w:after="80"/>
      </w:pPr>
      <w:r>
        <w:rPr>
          <w:rFonts w:ascii="Times New Roman" w:hAnsi="Times New Roman"/>
          <w:b/>
          <w:sz w:val="24"/>
        </w:rPr>
        <w:t>Partial Dependence Plots (PDP)</w:t>
      </w:r>
    </w:p>
    <w:p>
      <w:pPr>
        <w:spacing w:after="120"/>
      </w:pPr>
      <w:r>
        <w:rPr>
          <w:rFonts w:ascii="Times New Roman" w:hAnsi="Times New Roman"/>
          <w:sz w:val="24"/>
        </w:rPr>
        <w:t>PDPs show how the predicted outcome changes as a single feature varies while all other features are held constant [Molnar, 2022]. They provide an intuitive visualization of the relationship between a feature and the prediction. For example, a PDP for "number of prior inpatient visits" can show whether readmission risk increases linearly or levels off after a certain point. I generated PDPs for the top features identified by PFI.</w:t>
      </w:r>
    </w:p>
    <w:p>
      <w:pPr>
        <w:spacing w:after="80"/>
      </w:pPr>
      <w:r>
        <w:rPr>
          <w:rFonts w:ascii="Times New Roman" w:hAnsi="Times New Roman"/>
          <w:b/>
          <w:sz w:val="24"/>
        </w:rPr>
        <w:t>LACE Index</w:t>
      </w:r>
    </w:p>
    <w:p>
      <w:pPr>
        <w:spacing w:after="120"/>
      </w:pPr>
      <w:r>
        <w:rPr>
          <w:rFonts w:ascii="Times New Roman" w:hAnsi="Times New Roman"/>
          <w:sz w:val="24"/>
        </w:rPr>
        <w:t>The LACE Index is a rule-based clinical scoring system developed by van Walraven et al. [2010] to predict the risk of death or unplanned readmission within 30 days of discharge. It uses four factors: Length of stay (L), Acuity of admission (A), Comorbidity as measured by the Charlson Comorbidity Index (C), and Emergency department visits in the past six months (E). A LACE score of 10 or higher indicates high risk. It is widely used in Canadian hospitals because of its simplicity: it requires no model training and can be computed by hand. I included it in this project as a clinical baseline to benchmark against the ML model.</w:t>
      </w:r>
    </w:p>
    <w:p>
      <w:pPr>
        <w:spacing w:before="240" w:after="120"/>
      </w:pPr>
      <w:r>
        <w:rPr>
          <w:rFonts w:ascii="Times New Roman" w:hAnsi="Times New Roman"/>
          <w:b/>
          <w:sz w:val="24"/>
        </w:rPr>
        <w:t>2.3 Analysis of Strengths and Weaknesses</w:t>
      </w:r>
    </w:p>
    <w:p>
      <w:pPr>
        <w:spacing w:after="60"/>
      </w:pPr>
      <w:r>
        <w:rPr>
          <w:rFonts w:ascii="Times New Roman" w:hAnsi="Times New Roman"/>
          <w:sz w:val="24"/>
        </w:rPr>
        <w:t>Strengths of the approach used in this project:</w:t>
      </w:r>
    </w:p>
    <w:p>
      <w:pPr>
        <w:spacing w:after="60"/>
        <w:ind w:left="720"/>
      </w:pPr>
      <w:r>
        <w:rPr>
          <w:rFonts w:ascii="Times New Roman" w:hAnsi="Times New Roman"/>
          <w:sz w:val="24"/>
        </w:rPr>
        <w:t>•  Uses a real hospital dataset with actual patient records, not synthetic data.</w:t>
      </w:r>
    </w:p>
    <w:p>
      <w:pPr>
        <w:spacing w:after="60"/>
        <w:ind w:left="720"/>
      </w:pPr>
      <w:r>
        <w:rPr>
          <w:rFonts w:ascii="Times New Roman" w:hAnsi="Times New Roman"/>
          <w:sz w:val="24"/>
        </w:rPr>
        <w:t>•  Applies PFI and PDP, which are model-agnostic and work well for clinical tabular data.</w:t>
      </w:r>
    </w:p>
    <w:p>
      <w:pPr>
        <w:spacing w:after="60"/>
        <w:ind w:left="720"/>
      </w:pPr>
      <w:r>
        <w:rPr>
          <w:rFonts w:ascii="Times New Roman" w:hAnsi="Times New Roman"/>
          <w:sz w:val="24"/>
        </w:rPr>
        <w:t>•  Uses a small, focused set of models (three classifiers) rather than testing dozens, keeping the analysis clear and reproducible.</w:t>
      </w:r>
    </w:p>
    <w:p>
      <w:pPr>
        <w:spacing w:after="60"/>
        <w:ind w:left="720"/>
      </w:pPr>
      <w:r>
        <w:rPr>
          <w:rFonts w:ascii="Times New Roman" w:hAnsi="Times New Roman"/>
          <w:sz w:val="24"/>
        </w:rPr>
        <w:t>•  Produces explanations for one final selected model, avoiding unnecessary complexity.</w:t>
      </w:r>
    </w:p>
    <w:p>
      <w:pPr>
        <w:spacing w:after="60"/>
        <w:ind w:left="720"/>
      </w:pPr>
      <w:r>
        <w:rPr>
          <w:rFonts w:ascii="Times New Roman" w:hAnsi="Times New Roman"/>
          <w:sz w:val="24"/>
        </w:rPr>
        <w:t>•  Compares the ML model against a real clinical baseline (LACE Index) on the same test set.</w:t>
      </w:r>
    </w:p>
    <w:p>
      <w:pPr>
        <w:spacing w:after="60"/>
        <w:ind w:left="720"/>
      </w:pPr>
      <w:r>
        <w:rPr>
          <w:rFonts w:ascii="Times New Roman" w:hAnsi="Times New Roman"/>
          <w:sz w:val="24"/>
        </w:rPr>
        <w:t>•  Includes an interactive dashboard that makes the results accessible to non-technical users.</w:t>
      </w:r>
    </w:p>
    <w:p>
      <w:pPr>
        <w:spacing w:after="60"/>
      </w:pPr>
      <w:r>
        <w:rPr>
          <w:rFonts w:ascii="Times New Roman" w:hAnsi="Times New Roman"/>
          <w:sz w:val="24"/>
        </w:rPr>
        <w:t>Weaknesses and limitations:</w:t>
      </w:r>
    </w:p>
    <w:p>
      <w:pPr>
        <w:spacing w:after="60"/>
        <w:ind w:left="720"/>
      </w:pPr>
      <w:r>
        <w:rPr>
          <w:rFonts w:ascii="Times New Roman" w:hAnsi="Times New Roman"/>
          <w:sz w:val="24"/>
        </w:rPr>
        <w:t>•  Uses only one dataset, which may limit how well the results generalize to other hospitals or patient populations.</w:t>
      </w:r>
    </w:p>
    <w:p>
      <w:pPr>
        <w:spacing w:after="60"/>
        <w:ind w:left="720"/>
      </w:pPr>
      <w:r>
        <w:rPr>
          <w:rFonts w:ascii="Times New Roman" w:hAnsi="Times New Roman"/>
          <w:sz w:val="24"/>
        </w:rPr>
        <w:t>•  The data spans 1999 to 2008, so clinical practices and coding standards may have changed since then.</w:t>
      </w:r>
    </w:p>
    <w:p>
      <w:pPr>
        <w:spacing w:after="60"/>
        <w:ind w:left="720"/>
      </w:pPr>
      <w:r>
        <w:rPr>
          <w:rFonts w:ascii="Times New Roman" w:hAnsi="Times New Roman"/>
          <w:sz w:val="24"/>
        </w:rPr>
        <w:t>•  Patient encounters are treated independently, even though some patients appear multiple times.</w:t>
      </w:r>
    </w:p>
    <w:p>
      <w:pPr>
        <w:spacing w:after="60"/>
        <w:ind w:left="720"/>
      </w:pPr>
      <w:r>
        <w:rPr>
          <w:rFonts w:ascii="Times New Roman" w:hAnsi="Times New Roman"/>
          <w:sz w:val="24"/>
        </w:rPr>
        <w:t>•  Explainability results from PFI and PDP are interpretive, not causal. A strong association between a feature and readmission does not prove that the feature causes readmission.</w:t>
      </w:r>
    </w:p>
    <w:p>
      <w:pPr>
        <w:spacing w:after="60"/>
        <w:ind w:left="720"/>
      </w:pPr>
      <w:r>
        <w:rPr>
          <w:rFonts w:ascii="Times New Roman" w:hAnsi="Times New Roman"/>
          <w:sz w:val="24"/>
        </w:rPr>
        <w:t>•  The Charlson Comorbidity Index for the LACE comparison had to be approximated from diagnosis category columns, since the dataset does not include a direct CCI field.</w:t>
      </w:r>
    </w:p>
    <w:p>
      <w:pPr>
        <w:spacing w:before="240" w:after="120"/>
      </w:pPr>
      <w:r>
        <w:rPr>
          <w:rFonts w:ascii="Times New Roman" w:hAnsi="Times New Roman"/>
          <w:b/>
          <w:sz w:val="24"/>
        </w:rPr>
        <w:t>2.4 Learning Resources</w:t>
      </w:r>
    </w:p>
    <w:p>
      <w:pPr>
        <w:spacing w:after="60"/>
      </w:pPr>
      <w:r>
        <w:rPr>
          <w:rFonts w:ascii="Times New Roman" w:hAnsi="Times New Roman"/>
          <w:sz w:val="24"/>
        </w:rPr>
        <w:t>The techniques used in this project were implemented using knowledge gained from several sources:</w:t>
      </w:r>
    </w:p>
    <w:p>
      <w:pPr>
        <w:spacing w:after="60"/>
        <w:ind w:left="720"/>
      </w:pPr>
      <w:r>
        <w:rPr>
          <w:rFonts w:ascii="Times New Roman" w:hAnsi="Times New Roman"/>
          <w:sz w:val="24"/>
        </w:rPr>
        <w:t>•  Course material from CS 719, particularly the guidelines for each project deliverable and the overall data science workflow.</w:t>
      </w:r>
    </w:p>
    <w:p>
      <w:pPr>
        <w:spacing w:after="60"/>
        <w:ind w:left="720"/>
      </w:pPr>
      <w:r>
        <w:rPr>
          <w:rFonts w:ascii="Times New Roman" w:hAnsi="Times New Roman"/>
          <w:sz w:val="24"/>
        </w:rPr>
        <w:t>•  Scikit-learn documentation [Pedregosa et al., 2011] for model training, evaluation metrics, and preprocessing utilities.</w:t>
      </w:r>
    </w:p>
    <w:p>
      <w:pPr>
        <w:spacing w:after="60"/>
        <w:ind w:left="720"/>
      </w:pPr>
      <w:r>
        <w:rPr>
          <w:rFonts w:ascii="Times New Roman" w:hAnsi="Times New Roman"/>
          <w:sz w:val="24"/>
        </w:rPr>
        <w:t>•  "Interpretable Machine Learning" by Christoph Molnar [Molnar, 2022], an open-access textbook that covers PFI, PDP, and other explainability methods in detail.</w:t>
      </w:r>
    </w:p>
    <w:p>
      <w:pPr>
        <w:spacing w:after="60"/>
        <w:ind w:left="720"/>
      </w:pPr>
      <w:r>
        <w:rPr>
          <w:rFonts w:ascii="Times New Roman" w:hAnsi="Times New Roman"/>
          <w:sz w:val="24"/>
        </w:rPr>
        <w:t>•  The XGBoost documentation [Chen and Guestrin, 2016] for understanding gradient boosting parameters and tuning strategies.</w:t>
      </w:r>
    </w:p>
    <w:p>
      <w:pPr>
        <w:spacing w:after="60"/>
        <w:ind w:left="720"/>
      </w:pPr>
      <w:r>
        <w:rPr>
          <w:rFonts w:ascii="Times New Roman" w:hAnsi="Times New Roman"/>
          <w:sz w:val="24"/>
        </w:rPr>
        <w:t>•  Peer-reviewed research articles listed in Section 8, particularly Guo et al. [2025] for their systematic comparison of sampling strategies and explainability techniques on the same dataset.</w:t>
      </w:r>
    </w:p>
    <w:p>
      <w:pPr>
        <w:spacing w:before="240" w:after="120"/>
      </w:pPr>
      <w:r>
        <w:rPr>
          <w:rFonts w:ascii="Times New Roman" w:hAnsi="Times New Roman"/>
          <w:b/>
          <w:sz w:val="28"/>
        </w:rPr>
        <w:t>3. Approach</w:t>
      </w:r>
    </w:p>
    <w:p>
      <w:pPr>
        <w:spacing w:before="240" w:after="120"/>
      </w:pPr>
      <w:r>
        <w:rPr>
          <w:rFonts w:ascii="Times New Roman" w:hAnsi="Times New Roman"/>
          <w:b/>
          <w:sz w:val="24"/>
        </w:rPr>
        <w:t>3.1 Data Source</w:t>
      </w:r>
    </w:p>
    <w:p>
      <w:pPr>
        <w:spacing w:after="120"/>
      </w:pPr>
      <w:r>
        <w:rPr>
          <w:rFonts w:ascii="Times New Roman" w:hAnsi="Times New Roman"/>
          <w:sz w:val="24"/>
        </w:rPr>
        <w:t>The project used the Diabetes 130-US Hospitals Dataset, publicly available from the UCI Machine Learning Repository [Strack et al., 2014]. The dataset contains 101,766 patient encounters from 130 U.S. hospitals collected between 1999 and 2008. Each record represents a single hospital visit for a diabetic patient and includes 50 features covering demographics (age, race, gender), admission details (type, source, discharge disposition), diagnoses (three ICD-9 codes), medications (23 diabetes-related drugs), lab results, and hospital utilization history (prior inpatient, outpatient, and emergency visits).</w:t>
      </w:r>
    </w:p>
    <w:p>
      <w:pPr>
        <w:spacing w:after="120"/>
      </w:pPr>
      <w:r>
        <w:rPr>
          <w:rFonts w:ascii="Times New Roman" w:hAnsi="Times New Roman"/>
          <w:sz w:val="24"/>
        </w:rPr>
        <w:t>The original target variable had three categories: readmitted in less than 30 days, readmitted in more than 30 days, and not readmitted. I converted this into a binary target: 1 for readmitted within 30 days (11,314 encounters, 11.39%) and 0 for everything else (88,026 encounters, 88.61%). This severe class imbalance was one of the main challenges of the project.</w:t>
      </w:r>
    </w:p>
    <w:p>
      <w:pPr>
        <w:jc w:val="center"/>
      </w:pPr>
      <w:r>
        <w:drawing>
          <wp:inline xmlns:a="http://schemas.openxmlformats.org/drawingml/2006/main" xmlns:pic="http://schemas.openxmlformats.org/drawingml/2006/picture">
            <wp:extent cx="4114800" cy="2540259"/>
            <wp:docPr id="1" name="Picture 1"/>
            <wp:cNvGraphicFramePr>
              <a:graphicFrameLocks noChangeAspect="1"/>
            </wp:cNvGraphicFramePr>
            <a:graphic>
              <a:graphicData uri="http://schemas.openxmlformats.org/drawingml/2006/picture">
                <pic:pic>
                  <pic:nvPicPr>
                    <pic:cNvPr id="0" name="cell18_fig0.png"/>
                    <pic:cNvPicPr/>
                  </pic:nvPicPr>
                  <pic:blipFill>
                    <a:blip r:embed="rId9"/>
                    <a:stretch>
                      <a:fillRect/>
                    </a:stretch>
                  </pic:blipFill>
                  <pic:spPr>
                    <a:xfrm>
                      <a:off x="0" y="0"/>
                      <a:ext cx="4114800" cy="2540259"/>
                    </a:xfrm>
                    <a:prstGeom prst="rect"/>
                  </pic:spPr>
                </pic:pic>
              </a:graphicData>
            </a:graphic>
          </wp:inline>
        </w:drawing>
      </w:r>
    </w:p>
    <w:p>
      <w:pPr>
        <w:spacing w:after="200"/>
        <w:jc w:val="center"/>
      </w:pPr>
      <w:r>
        <w:rPr>
          <w:rFonts w:ascii="Times New Roman" w:hAnsi="Times New Roman"/>
          <w:i/>
          <w:sz w:val="22"/>
        </w:rPr>
        <w:t>Fig 1. Binary target distribution showing the class imbalance (88.6% vs 11.4%).</w:t>
      </w:r>
    </w:p>
    <w:p>
      <w:pPr>
        <w:spacing w:before="240" w:after="120"/>
      </w:pPr>
      <w:r>
        <w:rPr>
          <w:rFonts w:ascii="Times New Roman" w:hAnsi="Times New Roman"/>
          <w:b/>
          <w:sz w:val="24"/>
        </w:rPr>
        <w:t>3.2 Methodology</w:t>
      </w:r>
    </w:p>
    <w:p>
      <w:pPr>
        <w:spacing w:after="120"/>
      </w:pPr>
      <w:r>
        <w:rPr>
          <w:rFonts w:ascii="Times New Roman" w:hAnsi="Times New Roman"/>
          <w:sz w:val="24"/>
        </w:rPr>
        <w:t>The project followed an end-to-end machine learning pipeline with eight stages. I named the resulting software system "ReAdmit-XAI" (Readmission prediction with Explainable AI). The stages were as follows:</w:t>
      </w:r>
    </w:p>
    <w:p>
      <w:pPr>
        <w:spacing w:after="60"/>
      </w:pPr>
      <w:r>
        <w:rPr>
          <w:rFonts w:ascii="Times New Roman" w:hAnsi="Times New Roman"/>
          <w:sz w:val="24"/>
        </w:rPr>
        <w:t>Stage 1: Data Cleaning</w:t>
      </w:r>
    </w:p>
    <w:p>
      <w:pPr>
        <w:spacing w:after="120"/>
      </w:pPr>
      <w:r>
        <w:rPr>
          <w:rFonts w:ascii="Times New Roman" w:hAnsi="Times New Roman"/>
          <w:sz w:val="24"/>
        </w:rPr>
        <w:t>I removed columns with more than 40% missing values (weight, medical_specialty, max_glu_serum, A1Cresult), dropped two zero-variance columns (examide, citoglipton), and filtered out patients who were discharged to hospice or expired (since readmission is not applicable for them). After cleaning, 99,340 encounters remained with 42 columns.</w:t>
      </w:r>
    </w:p>
    <w:p>
      <w:pPr>
        <w:spacing w:after="60"/>
      </w:pPr>
      <w:r>
        <w:rPr>
          <w:rFonts w:ascii="Times New Roman" w:hAnsi="Times New Roman"/>
          <w:sz w:val="24"/>
        </w:rPr>
        <w:t>Stage 2: Feature Engineering</w:t>
      </w:r>
    </w:p>
    <w:p>
      <w:pPr>
        <w:spacing w:after="120"/>
      </w:pPr>
      <w:r>
        <w:rPr>
          <w:rFonts w:ascii="Times New Roman" w:hAnsi="Times New Roman"/>
          <w:sz w:val="24"/>
        </w:rPr>
        <w:t>I created four new features from the existing data: total_visits (sum of outpatient, emergency, and inpatient visit counts), num_med_changed (count of medications that were adjusted during the visit), num_med_active (count of medications actively prescribed), and age_numeric (midpoint of the age bracket, e.g., [70-80) became 75). The three ICD-9 diagnosis code columns (diag_1, diag_2, diag_3) were mapped into nine clinical categories: Circulatory, Respiratory, Digestive, Diabetes, Injury, Musculoskeletal, Genitourinary, Neoplasms, and Other.</w:t>
      </w:r>
    </w:p>
    <w:p>
      <w:pPr>
        <w:spacing w:after="60"/>
      </w:pPr>
      <w:r>
        <w:rPr>
          <w:rFonts w:ascii="Times New Roman" w:hAnsi="Times New Roman"/>
          <w:sz w:val="24"/>
        </w:rPr>
        <w:t>Stage 3: Encoding and Splitting</w:t>
      </w:r>
    </w:p>
    <w:p>
      <w:pPr>
        <w:spacing w:after="120"/>
      </w:pPr>
      <w:r>
        <w:rPr>
          <w:rFonts w:ascii="Times New Roman" w:hAnsi="Times New Roman"/>
          <w:sz w:val="24"/>
        </w:rPr>
        <w:t>Categorical features were one-hot encoded, producing a final feature matrix of 46 columns. The data was split into 80% training (79,472 encounters) and 20% testing (19,868 encounters) using stratified sampling to preserve the class distribution in both sets.</w:t>
      </w:r>
    </w:p>
    <w:p>
      <w:pPr>
        <w:spacing w:after="60"/>
      </w:pPr>
      <w:r>
        <w:rPr>
          <w:rFonts w:ascii="Times New Roman" w:hAnsi="Times New Roman"/>
          <w:sz w:val="24"/>
        </w:rPr>
        <w:t>Stage 4: SMOTE on Training Set</w:t>
      </w:r>
    </w:p>
    <w:p>
      <w:pPr>
        <w:spacing w:after="120"/>
      </w:pPr>
      <w:r>
        <w:rPr>
          <w:rFonts w:ascii="Times New Roman" w:hAnsi="Times New Roman"/>
          <w:sz w:val="24"/>
        </w:rPr>
        <w:t>SMOTE [Chawla et al., 2002] was applied only to the training set to balance the classes, bringing both classes to 70,421 samples each. The test set was left untouched to ensure a realistic evaluation. All features were then scaled using StandardScaler.</w:t>
      </w:r>
    </w:p>
    <w:p>
      <w:pPr>
        <w:spacing w:after="60"/>
      </w:pPr>
      <w:r>
        <w:rPr>
          <w:rFonts w:ascii="Times New Roman" w:hAnsi="Times New Roman"/>
          <w:sz w:val="24"/>
        </w:rPr>
        <w:t>Stage 5: Model Training and Hyperparameter Tuning</w:t>
      </w:r>
    </w:p>
    <w:p>
      <w:pPr>
        <w:spacing w:after="120"/>
      </w:pPr>
      <w:r>
        <w:rPr>
          <w:rFonts w:ascii="Times New Roman" w:hAnsi="Times New Roman"/>
          <w:sz w:val="24"/>
        </w:rPr>
        <w:t>Three classifiers were trained: Logistic Regression, Random Forest, and XGBoost. For each model, I ran GridSearchCV with 3-fold cross-validation scored on ROC-AUC to find the best hyperparameters. All three models used the same preprocessed data and the same train-test split.</w:t>
      </w:r>
    </w:p>
    <w:p>
      <w:pPr>
        <w:spacing w:after="60"/>
      </w:pPr>
      <w:r>
        <w:rPr>
          <w:rFonts w:ascii="Times New Roman" w:hAnsi="Times New Roman"/>
          <w:sz w:val="24"/>
        </w:rPr>
        <w:t>Stage 6: Model Evaluation and Selection</w:t>
      </w:r>
    </w:p>
    <w:p>
      <w:pPr>
        <w:spacing w:after="120"/>
      </w:pPr>
      <w:r>
        <w:rPr>
          <w:rFonts w:ascii="Times New Roman" w:hAnsi="Times New Roman"/>
          <w:sz w:val="24"/>
        </w:rPr>
        <w:t>Models were evaluated on the held-out test set using ROC-AUC, accuracy, precision, recall, and F1-score. I also ran 5-fold stratified cross-validation on the training set to check stability. XGBoost was selected as the best model based on the highest test ROC-AUC (0.6648) and stable cross-validation scores.</w:t>
      </w:r>
    </w:p>
    <w:p>
      <w:pPr>
        <w:spacing w:after="60"/>
      </w:pPr>
      <w:r>
        <w:rPr>
          <w:rFonts w:ascii="Times New Roman" w:hAnsi="Times New Roman"/>
          <w:sz w:val="24"/>
        </w:rPr>
        <w:t>Stage 7: Threshold Optimization</w:t>
      </w:r>
    </w:p>
    <w:p>
      <w:pPr>
        <w:spacing w:after="120"/>
      </w:pPr>
      <w:r>
        <w:rPr>
          <w:rFonts w:ascii="Times New Roman" w:hAnsi="Times New Roman"/>
          <w:sz w:val="24"/>
        </w:rPr>
        <w:t>The default classification threshold of 0.50 resulted in very low recall (only 4% of actual readmissions detected). I swept thresholds from 0.01 to 0.99 and found that a threshold of 0.20 maximized the F1-score, improving recall to 35% while keeping precision at 23%.</w:t>
      </w:r>
    </w:p>
    <w:p>
      <w:pPr>
        <w:spacing w:after="60"/>
      </w:pPr>
      <w:r>
        <w:rPr>
          <w:rFonts w:ascii="Times New Roman" w:hAnsi="Times New Roman"/>
          <w:sz w:val="24"/>
        </w:rPr>
        <w:t>Stage 8: Explainability and Dashboard</w:t>
      </w:r>
    </w:p>
    <w:p>
      <w:pPr>
        <w:spacing w:after="120"/>
      </w:pPr>
      <w:r>
        <w:rPr>
          <w:rFonts w:ascii="Times New Roman" w:hAnsi="Times New Roman"/>
          <w:sz w:val="24"/>
        </w:rPr>
        <w:t>PFI and PDP were computed on the best model to identify and visualize the most important features. The trained model, scaler, and supporting data were exported as artifacts and loaded into an interactive Streamlit dashboard for real-time risk assessment.</w:t>
      </w:r>
    </w:p>
    <w:p>
      <w:pPr>
        <w:spacing w:before="240" w:after="120"/>
      </w:pPr>
      <w:r>
        <w:rPr>
          <w:rFonts w:ascii="Times New Roman" w:hAnsi="Times New Roman"/>
          <w:b/>
          <w:sz w:val="24"/>
        </w:rPr>
        <w:t>3.3 Worked Example</w:t>
      </w:r>
    </w:p>
    <w:p>
      <w:pPr>
        <w:spacing w:after="120"/>
      </w:pPr>
      <w:r>
        <w:rPr>
          <w:rFonts w:ascii="Times New Roman" w:hAnsi="Times New Roman"/>
          <w:sz w:val="24"/>
        </w:rPr>
        <w:t>To illustrate how ReAdmit-XAI works from input to output, here is a fully worked example for a medium-risk patient:</w:t>
      </w:r>
    </w:p>
    <w:p>
      <w:pPr>
        <w:spacing w:after="60"/>
      </w:pPr>
      <w:r>
        <w:rPr>
          <w:rFonts w:ascii="Times New Roman" w:hAnsi="Times New Roman"/>
          <w:sz w:val="24"/>
        </w:rPr>
        <w:t>Sample Input:</w:t>
      </w:r>
    </w:p>
    <w:p>
      <w:pPr>
        <w:spacing w:after="60"/>
        <w:ind w:left="720"/>
      </w:pPr>
      <w:r>
        <w:rPr>
          <w:rFonts w:ascii="Times New Roman" w:hAnsi="Times New Roman"/>
          <w:sz w:val="24"/>
        </w:rPr>
        <w:t>•  Age group: 60-70 (age_numeric = 65)</w:t>
      </w:r>
    </w:p>
    <w:p>
      <w:pPr>
        <w:spacing w:after="60"/>
        <w:ind w:left="720"/>
      </w:pPr>
      <w:r>
        <w:rPr>
          <w:rFonts w:ascii="Times New Roman" w:hAnsi="Times New Roman"/>
          <w:sz w:val="24"/>
        </w:rPr>
        <w:t>•  Prior inpatient visits: 2</w:t>
      </w:r>
    </w:p>
    <w:p>
      <w:pPr>
        <w:spacing w:after="60"/>
        <w:ind w:left="720"/>
      </w:pPr>
      <w:r>
        <w:rPr>
          <w:rFonts w:ascii="Times New Roman" w:hAnsi="Times New Roman"/>
          <w:sz w:val="24"/>
        </w:rPr>
        <w:t>•  Number of medications: 15</w:t>
      </w:r>
    </w:p>
    <w:p>
      <w:pPr>
        <w:spacing w:after="60"/>
        <w:ind w:left="720"/>
      </w:pPr>
      <w:r>
        <w:rPr>
          <w:rFonts w:ascii="Times New Roman" w:hAnsi="Times New Roman"/>
          <w:sz w:val="24"/>
        </w:rPr>
        <w:t>•  Time in hospital: 5 days</w:t>
      </w:r>
    </w:p>
    <w:p>
      <w:pPr>
        <w:spacing w:after="60"/>
        <w:ind w:left="720"/>
      </w:pPr>
      <w:r>
        <w:rPr>
          <w:rFonts w:ascii="Times New Roman" w:hAnsi="Times New Roman"/>
          <w:sz w:val="24"/>
        </w:rPr>
        <w:t>•  Number of diagnoses: 7</w:t>
      </w:r>
    </w:p>
    <w:p>
      <w:pPr>
        <w:spacing w:after="60"/>
        <w:ind w:left="720"/>
      </w:pPr>
      <w:r>
        <w:rPr>
          <w:rFonts w:ascii="Times New Roman" w:hAnsi="Times New Roman"/>
          <w:sz w:val="24"/>
        </w:rPr>
        <w:t>•  Discharge disposition: 1 (discharged to home)</w:t>
      </w:r>
    </w:p>
    <w:p>
      <w:pPr>
        <w:spacing w:after="60"/>
        <w:ind w:left="720"/>
      </w:pPr>
      <w:r>
        <w:rPr>
          <w:rFonts w:ascii="Times New Roman" w:hAnsi="Times New Roman"/>
          <w:sz w:val="24"/>
        </w:rPr>
        <w:t>•  Admission type: 1 (emergency)</w:t>
      </w:r>
    </w:p>
    <w:p>
      <w:pPr>
        <w:spacing w:after="60"/>
        <w:ind w:left="720"/>
      </w:pPr>
      <w:r>
        <w:rPr>
          <w:rFonts w:ascii="Times New Roman" w:hAnsi="Times New Roman"/>
          <w:sz w:val="24"/>
        </w:rPr>
        <w:t>•  Primary diagnosis category: Circulatory</w:t>
      </w:r>
    </w:p>
    <w:p>
      <w:pPr>
        <w:spacing w:after="60"/>
      </w:pPr>
      <w:r>
        <w:rPr>
          <w:rFonts w:ascii="Times New Roman" w:hAnsi="Times New Roman"/>
          <w:sz w:val="24"/>
        </w:rPr>
        <w:t>Processing Steps:</w:t>
      </w:r>
    </w:p>
    <w:p>
      <w:pPr>
        <w:spacing w:after="120"/>
      </w:pPr>
      <w:r>
        <w:rPr>
          <w:rFonts w:ascii="Times New Roman" w:hAnsi="Times New Roman"/>
          <w:sz w:val="24"/>
        </w:rPr>
        <w:t>First, the raw inputs are placed into a feature vector with 46 columns matching the training format. Numeric features (age_numeric=65, number_inpatient=2, num_medications=15, etc.) are placed directly. Categorical features are one-hot encoded: for example, diag_1="Circulatory" means the column diag_1_Circulatory is set to 1 and all other diag_1_* columns are set to 0. The feature vector is then scaled using the same StandardScaler that was fitted on the training data.</w:t>
      </w:r>
    </w:p>
    <w:p>
      <w:pPr>
        <w:spacing w:after="120"/>
      </w:pPr>
      <w:r>
        <w:rPr>
          <w:rFonts w:ascii="Times New Roman" w:hAnsi="Times New Roman"/>
          <w:sz w:val="24"/>
        </w:rPr>
        <w:t>The scaled feature vector is passed to the trained XGBoost model, which outputs a predicted probability of readmission. For this patient, the predicted probability was 0.24 (24%). Since 0.24 exceeds the optimized threshold of 0.20, the binary prediction is 1 (likely to be readmitted), and the risk level is classified as MEDIUM RISK (between 0.20 and 0.30).</w:t>
      </w:r>
    </w:p>
    <w:p>
      <w:pPr>
        <w:spacing w:after="60"/>
      </w:pPr>
      <w:r>
        <w:rPr>
          <w:rFonts w:ascii="Times New Roman" w:hAnsi="Times New Roman"/>
          <w:sz w:val="24"/>
        </w:rPr>
        <w:t>Sample Output:</w:t>
      </w:r>
    </w:p>
    <w:p>
      <w:pPr>
        <w:spacing w:after="60"/>
        <w:ind w:left="720"/>
      </w:pPr>
      <w:r>
        <w:rPr>
          <w:rFonts w:ascii="Times New Roman" w:hAnsi="Times New Roman"/>
          <w:sz w:val="24"/>
        </w:rPr>
        <w:t>•  Predicted probability of readmission: 0.24 (24%)</w:t>
      </w:r>
    </w:p>
    <w:p>
      <w:pPr>
        <w:spacing w:after="60"/>
        <w:ind w:left="720"/>
      </w:pPr>
      <w:r>
        <w:rPr>
          <w:rFonts w:ascii="Times New Roman" w:hAnsi="Times New Roman"/>
          <w:sz w:val="24"/>
        </w:rPr>
        <w:t>•  Binary prediction: 1 (likely to be readmitted)</w:t>
      </w:r>
    </w:p>
    <w:p>
      <w:pPr>
        <w:spacing w:after="60"/>
        <w:ind w:left="720"/>
      </w:pPr>
      <w:r>
        <w:rPr>
          <w:rFonts w:ascii="Times New Roman" w:hAnsi="Times New Roman"/>
          <w:sz w:val="24"/>
        </w:rPr>
        <w:t>•  Risk level: MEDIUM RISK</w:t>
      </w:r>
    </w:p>
    <w:p>
      <w:pPr>
        <w:spacing w:after="60"/>
        <w:ind w:left="720"/>
      </w:pPr>
      <w:r>
        <w:rPr>
          <w:rFonts w:ascii="Times New Roman" w:hAnsi="Times New Roman"/>
          <w:sz w:val="24"/>
        </w:rPr>
        <w:t>•  Top contributing features: number_inpatient (2, above average), num_medications (15, above average), time_in_hospital (5, above average)</w:t>
      </w:r>
    </w:p>
    <w:p>
      <w:pPr>
        <w:jc w:val="center"/>
      </w:pPr>
      <w:r>
        <w:drawing>
          <wp:inline xmlns:a="http://schemas.openxmlformats.org/drawingml/2006/main" xmlns:pic="http://schemas.openxmlformats.org/drawingml/2006/picture">
            <wp:extent cx="5303520" cy="1279896"/>
            <wp:docPr id="2" name="Picture 2"/>
            <wp:cNvGraphicFramePr>
              <a:graphicFrameLocks noChangeAspect="1"/>
            </wp:cNvGraphicFramePr>
            <a:graphic>
              <a:graphicData uri="http://schemas.openxmlformats.org/drawingml/2006/picture">
                <pic:pic>
                  <pic:nvPicPr>
                    <pic:cNvPr id="0" name="cell59_fig1.png"/>
                    <pic:cNvPicPr/>
                  </pic:nvPicPr>
                  <pic:blipFill>
                    <a:blip r:embed="rId10"/>
                    <a:stretch>
                      <a:fillRect/>
                    </a:stretch>
                  </pic:blipFill>
                  <pic:spPr>
                    <a:xfrm>
                      <a:off x="0" y="0"/>
                      <a:ext cx="5303520" cy="1279896"/>
                    </a:xfrm>
                    <a:prstGeom prst="rect"/>
                  </pic:spPr>
                </pic:pic>
              </a:graphicData>
            </a:graphic>
          </wp:inline>
        </w:drawing>
      </w:r>
    </w:p>
    <w:p>
      <w:pPr>
        <w:spacing w:after="200"/>
        <w:jc w:val="center"/>
      </w:pPr>
      <w:r>
        <w:rPr>
          <w:rFonts w:ascii="Times New Roman" w:hAnsi="Times New Roman"/>
          <w:i/>
          <w:sz w:val="22"/>
        </w:rPr>
        <w:t>Fig 2. ReAdmit-XAI output for a medium-risk patient: risk gauge (left) and feature profile compared to the population average (right).</w:t>
      </w:r>
    </w:p>
    <w:p>
      <w:pPr>
        <w:spacing w:after="120"/>
      </w:pPr>
      <w:r>
        <w:rPr>
          <w:rFonts w:ascii="Times New Roman" w:hAnsi="Times New Roman"/>
          <w:sz w:val="24"/>
        </w:rPr>
        <w:t>The LACE Index was also computed for the same patient: L=4 (5-day stay), A=3 (emergency admission), C=1 (Circulatory diagnosis carries CCI weight of 1), E=0 (no prior ED visits). Total LACE score = 8, which is below the threshold of 10, so LACE would classify this patient as low risk. This illustrates a case where the ML model catches a risk that LACE misses.</w:t>
      </w:r>
    </w:p>
    <w:p>
      <w:pPr>
        <w:spacing w:before="240" w:after="120"/>
      </w:pPr>
      <w:r>
        <w:rPr>
          <w:rFonts w:ascii="Times New Roman" w:hAnsi="Times New Roman"/>
          <w:b/>
          <w:sz w:val="24"/>
        </w:rPr>
        <w:t>3.4 Software Description</w:t>
      </w:r>
    </w:p>
    <w:p>
      <w:pPr>
        <w:spacing w:after="120"/>
      </w:pPr>
      <w:r>
        <w:rPr>
          <w:rFonts w:ascii="Times New Roman" w:hAnsi="Times New Roman"/>
          <w:sz w:val="24"/>
        </w:rPr>
        <w:t>The software produced in this project is called ReAdmit-XAI. It consists of two main components:</w:t>
      </w:r>
    </w:p>
    <w:p>
      <w:pPr>
        <w:spacing w:after="120"/>
      </w:pPr>
      <w:r>
        <w:rPr>
          <w:rFonts w:ascii="Times New Roman" w:hAnsi="Times New Roman"/>
          <w:sz w:val="24"/>
        </w:rPr>
        <w:t>The first component is a Jupyter Notebook that contains the complete data science pipeline: data loading, cleaning, feature engineering, model training, evaluation, threshold optimization, explainability analysis, and the LACE comparison. The notebook is fully executable on Google Colab and produces all results, tables, and figures from scratch.</w:t>
      </w:r>
    </w:p>
    <w:p>
      <w:pPr>
        <w:spacing w:after="120"/>
      </w:pPr>
      <w:r>
        <w:rPr>
          <w:rFonts w:ascii="Times New Roman" w:hAnsi="Times New Roman"/>
          <w:sz w:val="24"/>
        </w:rPr>
        <w:t>The second component is a Streamlit web dashboard that loads the trained model artifacts and provides an interactive interface with four tabs: (1) Risk Assessment, where users adjust patient parameters via sliders and get a real-time risk score; (2) Explainability and What-If Analysis, showing which features drive each prediction and allowing scenario simulation; (3) Clinical Impact, with population-level charts and feature importance visualization; and (4) Model Performance, displaying ROC-AUC curves, confusion matrices, and the model comparison table. The dashboard is deployed online and auto-updates from the GitHub repository on every push.</w:t>
      </w:r>
    </w:p>
    <w:p>
      <w:pPr>
        <w:spacing w:before="240" w:after="120"/>
      </w:pPr>
      <w:r>
        <w:rPr>
          <w:rFonts w:ascii="Times New Roman" w:hAnsi="Times New Roman"/>
          <w:b/>
          <w:sz w:val="24"/>
        </w:rPr>
        <w:t>3.5 Processing Time and Space</w:t>
      </w:r>
    </w:p>
    <w:p>
      <w:pPr>
        <w:spacing w:after="120"/>
      </w:pPr>
      <w:r>
        <w:rPr>
          <w:rFonts w:ascii="Times New Roman" w:hAnsi="Times New Roman"/>
          <w:sz w:val="24"/>
        </w:rPr>
        <w:t>The entire notebook, including data loading, cleaning, feature engineering, training three models with GridSearchCV, computing PFI (10 repeats), generating all plots, and running the LACE comparison, executed end-to-end in approximately 8 to 10 minutes on a Google Colab free-tier instance (2 vCPUs, 12.7 GB RAM). The most time-consuming steps were GridSearchCV for XGBoost (27 parameter combinations times 3 folds) and PFI computation (46 features times 10 repeats).</w:t>
      </w:r>
    </w:p>
    <w:p>
      <w:pPr>
        <w:spacing w:after="120"/>
      </w:pPr>
      <w:r>
        <w:rPr>
          <w:rFonts w:ascii="Times New Roman" w:hAnsi="Times New Roman"/>
          <w:sz w:val="24"/>
        </w:rPr>
        <w:t>The dataset file (data.csv) is approximately 20 MB. The exported model artifacts total about 1.5 MB, of which the trained XGBoost model file is the largest at 777 KB. The Streamlit dashboard loads these artifacts at startup and responds to user interactions in under one second.</w:t>
      </w:r>
    </w:p>
    <w:p>
      <w:r>
        <w:br w:type="page"/>
      </w:r>
    </w:p>
    <w:p>
      <w:pPr>
        <w:spacing w:before="240" w:after="120"/>
      </w:pPr>
      <w:r>
        <w:rPr>
          <w:rFonts w:ascii="Times New Roman" w:hAnsi="Times New Roman"/>
          <w:b/>
          <w:sz w:val="28"/>
        </w:rPr>
        <w:t>4. Implementation</w:t>
      </w:r>
    </w:p>
    <w:p>
      <w:pPr>
        <w:spacing w:before="240" w:after="120"/>
      </w:pPr>
      <w:r>
        <w:rPr>
          <w:rFonts w:ascii="Times New Roman" w:hAnsi="Times New Roman"/>
          <w:b/>
          <w:sz w:val="24"/>
        </w:rPr>
        <w:t>4.1 Software Stack and Versions</w:t>
      </w:r>
    </w:p>
    <w:p>
      <w:pPr>
        <w:spacing w:after="120"/>
      </w:pPr>
      <w:r>
        <w:rPr>
          <w:rFonts w:ascii="Times New Roman" w:hAnsi="Times New Roman"/>
          <w:sz w:val="24"/>
        </w:rPr>
        <w:t>ReAdmit-XAI was implemented entirely in Python. The notebook was developed and executed on Google Colab, and the dashboard was built with Streamlit and deployed via Streamlit Community Cloud. Table 1 lists the main packages used and their versions.</w:t>
      </w:r>
    </w:p>
    <w:p>
      <w:pPr>
        <w:spacing w:after="80"/>
        <w:jc w:val="center"/>
      </w:pPr>
      <w:r>
        <w:rPr>
          <w:rFonts w:ascii="Times New Roman" w:hAnsi="Times New Roman"/>
          <w:i/>
          <w:sz w:val="22"/>
        </w:rPr>
        <w:t>Table 1. Software packages and versions used in ReAdmit-XAI.</w:t>
      </w:r>
    </w:p>
    <w:tbl>
      <w:tblPr>
        <w:tblStyle w:val="TableGrid"/>
        <w:tblW w:type="auto" w:w="0"/>
        <w:jc w:val="center"/>
        <w:tblLook w:firstColumn="1" w:firstRow="1" w:lastColumn="0" w:lastRow="0" w:noHBand="0" w:noVBand="1" w:val="04A0"/>
      </w:tblPr>
      <w:tblGrid>
        <w:gridCol w:w="3600"/>
        <w:gridCol w:w="3600"/>
        <w:gridCol w:w="3600"/>
      </w:tblGrid>
      <w:tr>
        <w:tc>
          <w:tcPr>
            <w:tcW w:type="dxa" w:w="3600"/>
          </w:tcPr>
          <w:p>
            <w:r/>
            <w:r>
              <w:rPr>
                <w:rFonts w:ascii="Times New Roman" w:hAnsi="Times New Roman"/>
                <w:b/>
                <w:sz w:val="22"/>
              </w:rPr>
              <w:t>Package</w:t>
            </w:r>
          </w:p>
        </w:tc>
        <w:tc>
          <w:tcPr>
            <w:tcW w:type="dxa" w:w="3600"/>
          </w:tcPr>
          <w:p>
            <w:r/>
            <w:r>
              <w:rPr>
                <w:rFonts w:ascii="Times New Roman" w:hAnsi="Times New Roman"/>
                <w:b/>
                <w:sz w:val="22"/>
              </w:rPr>
              <w:t>Version</w:t>
            </w:r>
          </w:p>
        </w:tc>
        <w:tc>
          <w:tcPr>
            <w:tcW w:type="dxa" w:w="3600"/>
          </w:tcPr>
          <w:p>
            <w:r/>
            <w:r>
              <w:rPr>
                <w:rFonts w:ascii="Times New Roman" w:hAnsi="Times New Roman"/>
                <w:b/>
                <w:sz w:val="22"/>
              </w:rPr>
              <w:t>Purpose</w:t>
            </w:r>
          </w:p>
        </w:tc>
      </w:tr>
      <w:tr>
        <w:tc>
          <w:tcPr>
            <w:tcW w:type="dxa" w:w="3600"/>
          </w:tcPr>
          <w:p>
            <w:r/>
            <w:r>
              <w:rPr>
                <w:rFonts w:ascii="Times New Roman" w:hAnsi="Times New Roman"/>
                <w:sz w:val="22"/>
              </w:rPr>
              <w:t>Python</w:t>
            </w:r>
          </w:p>
        </w:tc>
        <w:tc>
          <w:tcPr>
            <w:tcW w:type="dxa" w:w="3600"/>
          </w:tcPr>
          <w:p>
            <w:r/>
            <w:r>
              <w:rPr>
                <w:rFonts w:ascii="Times New Roman" w:hAnsi="Times New Roman"/>
                <w:sz w:val="22"/>
              </w:rPr>
              <w:t>3.10</w:t>
            </w:r>
          </w:p>
        </w:tc>
        <w:tc>
          <w:tcPr>
            <w:tcW w:type="dxa" w:w="3600"/>
          </w:tcPr>
          <w:p>
            <w:r/>
            <w:r>
              <w:rPr>
                <w:rFonts w:ascii="Times New Roman" w:hAnsi="Times New Roman"/>
                <w:sz w:val="22"/>
              </w:rPr>
              <w:t>Programming language</w:t>
            </w:r>
          </w:p>
        </w:tc>
      </w:tr>
      <w:tr>
        <w:tc>
          <w:tcPr>
            <w:tcW w:type="dxa" w:w="3600"/>
          </w:tcPr>
          <w:p>
            <w:r/>
            <w:r>
              <w:rPr>
                <w:rFonts w:ascii="Times New Roman" w:hAnsi="Times New Roman"/>
                <w:sz w:val="22"/>
              </w:rPr>
              <w:t>pandas</w:t>
            </w:r>
          </w:p>
        </w:tc>
        <w:tc>
          <w:tcPr>
            <w:tcW w:type="dxa" w:w="3600"/>
          </w:tcPr>
          <w:p>
            <w:r/>
            <w:r>
              <w:rPr>
                <w:rFonts w:ascii="Times New Roman" w:hAnsi="Times New Roman"/>
                <w:sz w:val="22"/>
              </w:rPr>
              <w:t>2.0+</w:t>
            </w:r>
          </w:p>
        </w:tc>
        <w:tc>
          <w:tcPr>
            <w:tcW w:type="dxa" w:w="3600"/>
          </w:tcPr>
          <w:p>
            <w:r/>
            <w:r>
              <w:rPr>
                <w:rFonts w:ascii="Times New Roman" w:hAnsi="Times New Roman"/>
                <w:sz w:val="22"/>
              </w:rPr>
              <w:t>Data manipulation and analysis</w:t>
            </w:r>
          </w:p>
        </w:tc>
      </w:tr>
      <w:tr>
        <w:tc>
          <w:tcPr>
            <w:tcW w:type="dxa" w:w="3600"/>
          </w:tcPr>
          <w:p>
            <w:r/>
            <w:r>
              <w:rPr>
                <w:rFonts w:ascii="Times New Roman" w:hAnsi="Times New Roman"/>
                <w:sz w:val="22"/>
              </w:rPr>
              <w:t>NumPy</w:t>
            </w:r>
          </w:p>
        </w:tc>
        <w:tc>
          <w:tcPr>
            <w:tcW w:type="dxa" w:w="3600"/>
          </w:tcPr>
          <w:p>
            <w:r/>
            <w:r>
              <w:rPr>
                <w:rFonts w:ascii="Times New Roman" w:hAnsi="Times New Roman"/>
                <w:sz w:val="22"/>
              </w:rPr>
              <w:t>1.24+</w:t>
            </w:r>
          </w:p>
        </w:tc>
        <w:tc>
          <w:tcPr>
            <w:tcW w:type="dxa" w:w="3600"/>
          </w:tcPr>
          <w:p>
            <w:r/>
            <w:r>
              <w:rPr>
                <w:rFonts w:ascii="Times New Roman" w:hAnsi="Times New Roman"/>
                <w:sz w:val="22"/>
              </w:rPr>
              <w:t>Numerical computation</w:t>
            </w:r>
          </w:p>
        </w:tc>
      </w:tr>
      <w:tr>
        <w:tc>
          <w:tcPr>
            <w:tcW w:type="dxa" w:w="3600"/>
          </w:tcPr>
          <w:p>
            <w:r/>
            <w:r>
              <w:rPr>
                <w:rFonts w:ascii="Times New Roman" w:hAnsi="Times New Roman"/>
                <w:sz w:val="22"/>
              </w:rPr>
              <w:t>scikit-learn</w:t>
            </w:r>
          </w:p>
        </w:tc>
        <w:tc>
          <w:tcPr>
            <w:tcW w:type="dxa" w:w="3600"/>
          </w:tcPr>
          <w:p>
            <w:r/>
            <w:r>
              <w:rPr>
                <w:rFonts w:ascii="Times New Roman" w:hAnsi="Times New Roman"/>
                <w:sz w:val="22"/>
              </w:rPr>
              <w:t>1.3+</w:t>
            </w:r>
          </w:p>
        </w:tc>
        <w:tc>
          <w:tcPr>
            <w:tcW w:type="dxa" w:w="3600"/>
          </w:tcPr>
          <w:p>
            <w:r/>
            <w:r>
              <w:rPr>
                <w:rFonts w:ascii="Times New Roman" w:hAnsi="Times New Roman"/>
                <w:sz w:val="22"/>
              </w:rPr>
              <w:t>ML models, metrics, preprocessing</w:t>
            </w:r>
          </w:p>
        </w:tc>
      </w:tr>
      <w:tr>
        <w:tc>
          <w:tcPr>
            <w:tcW w:type="dxa" w:w="3600"/>
          </w:tcPr>
          <w:p>
            <w:r/>
            <w:r>
              <w:rPr>
                <w:rFonts w:ascii="Times New Roman" w:hAnsi="Times New Roman"/>
                <w:sz w:val="22"/>
              </w:rPr>
              <w:t>XGBoost</w:t>
            </w:r>
          </w:p>
        </w:tc>
        <w:tc>
          <w:tcPr>
            <w:tcW w:type="dxa" w:w="3600"/>
          </w:tcPr>
          <w:p>
            <w:r/>
            <w:r>
              <w:rPr>
                <w:rFonts w:ascii="Times New Roman" w:hAnsi="Times New Roman"/>
                <w:sz w:val="22"/>
              </w:rPr>
              <w:t>2.0+</w:t>
            </w:r>
          </w:p>
        </w:tc>
        <w:tc>
          <w:tcPr>
            <w:tcW w:type="dxa" w:w="3600"/>
          </w:tcPr>
          <w:p>
            <w:r/>
            <w:r>
              <w:rPr>
                <w:rFonts w:ascii="Times New Roman" w:hAnsi="Times New Roman"/>
                <w:sz w:val="22"/>
              </w:rPr>
              <w:t>Gradient boosting classifier</w:t>
            </w:r>
          </w:p>
        </w:tc>
      </w:tr>
      <w:tr>
        <w:tc>
          <w:tcPr>
            <w:tcW w:type="dxa" w:w="3600"/>
          </w:tcPr>
          <w:p>
            <w:r/>
            <w:r>
              <w:rPr>
                <w:rFonts w:ascii="Times New Roman" w:hAnsi="Times New Roman"/>
                <w:sz w:val="22"/>
              </w:rPr>
              <w:t>imbalanced-learn</w:t>
            </w:r>
          </w:p>
        </w:tc>
        <w:tc>
          <w:tcPr>
            <w:tcW w:type="dxa" w:w="3600"/>
          </w:tcPr>
          <w:p>
            <w:r/>
            <w:r>
              <w:rPr>
                <w:rFonts w:ascii="Times New Roman" w:hAnsi="Times New Roman"/>
                <w:sz w:val="22"/>
              </w:rPr>
              <w:t>0.11+</w:t>
            </w:r>
          </w:p>
        </w:tc>
        <w:tc>
          <w:tcPr>
            <w:tcW w:type="dxa" w:w="3600"/>
          </w:tcPr>
          <w:p>
            <w:r/>
            <w:r>
              <w:rPr>
                <w:rFonts w:ascii="Times New Roman" w:hAnsi="Times New Roman"/>
                <w:sz w:val="22"/>
              </w:rPr>
              <w:t>SMOTE for class balancing</w:t>
            </w:r>
          </w:p>
        </w:tc>
      </w:tr>
      <w:tr>
        <w:tc>
          <w:tcPr>
            <w:tcW w:type="dxa" w:w="3600"/>
          </w:tcPr>
          <w:p>
            <w:r/>
            <w:r>
              <w:rPr>
                <w:rFonts w:ascii="Times New Roman" w:hAnsi="Times New Roman"/>
                <w:sz w:val="22"/>
              </w:rPr>
              <w:t>Matplotlib</w:t>
            </w:r>
          </w:p>
        </w:tc>
        <w:tc>
          <w:tcPr>
            <w:tcW w:type="dxa" w:w="3600"/>
          </w:tcPr>
          <w:p>
            <w:r/>
            <w:r>
              <w:rPr>
                <w:rFonts w:ascii="Times New Roman" w:hAnsi="Times New Roman"/>
                <w:sz w:val="22"/>
              </w:rPr>
              <w:t>3.7+</w:t>
            </w:r>
          </w:p>
        </w:tc>
        <w:tc>
          <w:tcPr>
            <w:tcW w:type="dxa" w:w="3600"/>
          </w:tcPr>
          <w:p>
            <w:r/>
            <w:r>
              <w:rPr>
                <w:rFonts w:ascii="Times New Roman" w:hAnsi="Times New Roman"/>
                <w:sz w:val="22"/>
              </w:rPr>
              <w:t>Plotting and visualization</w:t>
            </w:r>
          </w:p>
        </w:tc>
      </w:tr>
      <w:tr>
        <w:tc>
          <w:tcPr>
            <w:tcW w:type="dxa" w:w="3600"/>
          </w:tcPr>
          <w:p>
            <w:r/>
            <w:r>
              <w:rPr>
                <w:rFonts w:ascii="Times New Roman" w:hAnsi="Times New Roman"/>
                <w:sz w:val="22"/>
              </w:rPr>
              <w:t>Seaborn</w:t>
            </w:r>
          </w:p>
        </w:tc>
        <w:tc>
          <w:tcPr>
            <w:tcW w:type="dxa" w:w="3600"/>
          </w:tcPr>
          <w:p>
            <w:r/>
            <w:r>
              <w:rPr>
                <w:rFonts w:ascii="Times New Roman" w:hAnsi="Times New Roman"/>
                <w:sz w:val="22"/>
              </w:rPr>
              <w:t>0.12+</w:t>
            </w:r>
          </w:p>
        </w:tc>
        <w:tc>
          <w:tcPr>
            <w:tcW w:type="dxa" w:w="3600"/>
          </w:tcPr>
          <w:p>
            <w:r/>
            <w:r>
              <w:rPr>
                <w:rFonts w:ascii="Times New Roman" w:hAnsi="Times New Roman"/>
                <w:sz w:val="22"/>
              </w:rPr>
              <w:t>Statistical visualizations</w:t>
            </w:r>
          </w:p>
        </w:tc>
      </w:tr>
      <w:tr>
        <w:tc>
          <w:tcPr>
            <w:tcW w:type="dxa" w:w="3600"/>
          </w:tcPr>
          <w:p>
            <w:r/>
            <w:r>
              <w:rPr>
                <w:rFonts w:ascii="Times New Roman" w:hAnsi="Times New Roman"/>
                <w:sz w:val="22"/>
              </w:rPr>
              <w:t>Streamlit</w:t>
            </w:r>
          </w:p>
        </w:tc>
        <w:tc>
          <w:tcPr>
            <w:tcW w:type="dxa" w:w="3600"/>
          </w:tcPr>
          <w:p>
            <w:r/>
            <w:r>
              <w:rPr>
                <w:rFonts w:ascii="Times New Roman" w:hAnsi="Times New Roman"/>
                <w:sz w:val="22"/>
              </w:rPr>
              <w:t>1.32+</w:t>
            </w:r>
          </w:p>
        </w:tc>
        <w:tc>
          <w:tcPr>
            <w:tcW w:type="dxa" w:w="3600"/>
          </w:tcPr>
          <w:p>
            <w:r/>
            <w:r>
              <w:rPr>
                <w:rFonts w:ascii="Times New Roman" w:hAnsi="Times New Roman"/>
                <w:sz w:val="22"/>
              </w:rPr>
              <w:t>Interactive web dashboard</w:t>
            </w:r>
          </w:p>
        </w:tc>
      </w:tr>
      <w:tr>
        <w:tc>
          <w:tcPr>
            <w:tcW w:type="dxa" w:w="3600"/>
          </w:tcPr>
          <w:p>
            <w:r/>
            <w:r>
              <w:rPr>
                <w:rFonts w:ascii="Times New Roman" w:hAnsi="Times New Roman"/>
                <w:sz w:val="22"/>
              </w:rPr>
              <w:t>joblib</w:t>
            </w:r>
          </w:p>
        </w:tc>
        <w:tc>
          <w:tcPr>
            <w:tcW w:type="dxa" w:w="3600"/>
          </w:tcPr>
          <w:p>
            <w:r/>
            <w:r>
              <w:rPr>
                <w:rFonts w:ascii="Times New Roman" w:hAnsi="Times New Roman"/>
                <w:sz w:val="22"/>
              </w:rPr>
              <w:t>1.3+</w:t>
            </w:r>
          </w:p>
        </w:tc>
        <w:tc>
          <w:tcPr>
            <w:tcW w:type="dxa" w:w="3600"/>
          </w:tcPr>
          <w:p>
            <w:r/>
            <w:r>
              <w:rPr>
                <w:rFonts w:ascii="Times New Roman" w:hAnsi="Times New Roman"/>
                <w:sz w:val="22"/>
              </w:rPr>
              <w:t>Model serialization</w:t>
            </w:r>
          </w:p>
        </w:tc>
      </w:tr>
      <w:tr>
        <w:tc>
          <w:tcPr>
            <w:tcW w:type="dxa" w:w="3600"/>
          </w:tcPr>
          <w:p>
            <w:r/>
            <w:r>
              <w:rPr>
                <w:rFonts w:ascii="Times New Roman" w:hAnsi="Times New Roman"/>
                <w:sz w:val="22"/>
              </w:rPr>
              <w:t>SciPy</w:t>
            </w:r>
          </w:p>
        </w:tc>
        <w:tc>
          <w:tcPr>
            <w:tcW w:type="dxa" w:w="3600"/>
          </w:tcPr>
          <w:p>
            <w:r/>
            <w:r>
              <w:rPr>
                <w:rFonts w:ascii="Times New Roman" w:hAnsi="Times New Roman"/>
                <w:sz w:val="22"/>
              </w:rPr>
              <w:t>1.11+</w:t>
            </w:r>
          </w:p>
        </w:tc>
        <w:tc>
          <w:tcPr>
            <w:tcW w:type="dxa" w:w="3600"/>
          </w:tcPr>
          <w:p>
            <w:r/>
            <w:r>
              <w:rPr>
                <w:rFonts w:ascii="Times New Roman" w:hAnsi="Times New Roman"/>
                <w:sz w:val="22"/>
              </w:rPr>
              <w:t>Statistical tests</w:t>
            </w:r>
          </w:p>
        </w:tc>
      </w:tr>
    </w:tbl>
    <w:p/>
    <w:p>
      <w:pPr>
        <w:spacing w:before="240" w:after="120"/>
      </w:pPr>
      <w:r>
        <w:rPr>
          <w:rFonts w:ascii="Times New Roman" w:hAnsi="Times New Roman"/>
          <w:b/>
          <w:sz w:val="24"/>
        </w:rPr>
        <w:t>4.2 Module Structure</w:t>
      </w:r>
    </w:p>
    <w:p>
      <w:pPr>
        <w:spacing w:after="120"/>
      </w:pPr>
      <w:r>
        <w:rPr>
          <w:rFonts w:ascii="Times New Roman" w:hAnsi="Times New Roman"/>
          <w:sz w:val="24"/>
        </w:rPr>
        <w:t>The project consists of three main source files and a set of exported model artifacts. Table 2 summarizes the module structure.</w:t>
      </w:r>
    </w:p>
    <w:p>
      <w:pPr>
        <w:spacing w:after="80"/>
        <w:jc w:val="center"/>
      </w:pPr>
      <w:r>
        <w:rPr>
          <w:rFonts w:ascii="Times New Roman" w:hAnsi="Times New Roman"/>
          <w:i/>
          <w:sz w:val="22"/>
        </w:rPr>
        <w:t>Table 2. Module structure of ReAdmit-XAI.</w:t>
      </w:r>
    </w:p>
    <w:tbl>
      <w:tblPr>
        <w:tblStyle w:val="TableGrid"/>
        <w:tblW w:type="auto" w:w="0"/>
        <w:jc w:val="center"/>
        <w:tblLook w:firstColumn="1" w:firstRow="1" w:lastColumn="0" w:lastRow="0" w:noHBand="0" w:noVBand="1" w:val="04A0"/>
      </w:tblPr>
      <w:tblGrid>
        <w:gridCol w:w="3600"/>
        <w:gridCol w:w="3600"/>
        <w:gridCol w:w="3600"/>
      </w:tblGrid>
      <w:tr>
        <w:tc>
          <w:tcPr>
            <w:tcW w:type="dxa" w:w="3600"/>
          </w:tcPr>
          <w:p>
            <w:r/>
            <w:r>
              <w:rPr>
                <w:rFonts w:ascii="Times New Roman" w:hAnsi="Times New Roman"/>
                <w:b/>
                <w:sz w:val="22"/>
              </w:rPr>
              <w:t>File</w:t>
            </w:r>
          </w:p>
        </w:tc>
        <w:tc>
          <w:tcPr>
            <w:tcW w:type="dxa" w:w="3600"/>
          </w:tcPr>
          <w:p>
            <w:r/>
            <w:r>
              <w:rPr>
                <w:rFonts w:ascii="Times New Roman" w:hAnsi="Times New Roman"/>
                <w:b/>
                <w:sz w:val="22"/>
              </w:rPr>
              <w:t>Lines</w:t>
            </w:r>
          </w:p>
        </w:tc>
        <w:tc>
          <w:tcPr>
            <w:tcW w:type="dxa" w:w="3600"/>
          </w:tcPr>
          <w:p>
            <w:r/>
            <w:r>
              <w:rPr>
                <w:rFonts w:ascii="Times New Roman" w:hAnsi="Times New Roman"/>
                <w:b/>
                <w:sz w:val="22"/>
              </w:rPr>
              <w:t>Description</w:t>
            </w:r>
          </w:p>
        </w:tc>
      </w:tr>
      <w:tr>
        <w:tc>
          <w:tcPr>
            <w:tcW w:type="dxa" w:w="3600"/>
          </w:tcPr>
          <w:p>
            <w:r/>
            <w:r>
              <w:rPr>
                <w:rFonts w:ascii="Times New Roman" w:hAnsi="Times New Roman"/>
                <w:sz w:val="22"/>
              </w:rPr>
              <w:t>Notebook (.ipynb)</w:t>
            </w:r>
          </w:p>
        </w:tc>
        <w:tc>
          <w:tcPr>
            <w:tcW w:type="dxa" w:w="3600"/>
          </w:tcPr>
          <w:p>
            <w:r/>
            <w:r>
              <w:rPr>
                <w:rFonts w:ascii="Times New Roman" w:hAnsi="Times New Roman"/>
                <w:sz w:val="22"/>
              </w:rPr>
              <w:t>737 (code) + 24 markdown cells</w:t>
            </w:r>
          </w:p>
        </w:tc>
        <w:tc>
          <w:tcPr>
            <w:tcW w:type="dxa" w:w="3600"/>
          </w:tcPr>
          <w:p>
            <w:r/>
            <w:r>
              <w:rPr>
                <w:rFonts w:ascii="Times New Roman" w:hAnsi="Times New Roman"/>
                <w:sz w:val="22"/>
              </w:rPr>
              <w:t>End-to-end ML pipeline</w:t>
            </w:r>
          </w:p>
        </w:tc>
      </w:tr>
      <w:tr>
        <w:tc>
          <w:tcPr>
            <w:tcW w:type="dxa" w:w="3600"/>
          </w:tcPr>
          <w:p>
            <w:r/>
            <w:r>
              <w:rPr>
                <w:rFonts w:ascii="Times New Roman" w:hAnsi="Times New Roman"/>
                <w:sz w:val="22"/>
              </w:rPr>
              <w:t>streamlit_app.py</w:t>
            </w:r>
          </w:p>
        </w:tc>
        <w:tc>
          <w:tcPr>
            <w:tcW w:type="dxa" w:w="3600"/>
          </w:tcPr>
          <w:p>
            <w:r/>
            <w:r>
              <w:rPr>
                <w:rFonts w:ascii="Times New Roman" w:hAnsi="Times New Roman"/>
                <w:sz w:val="22"/>
              </w:rPr>
              <w:t>863</w:t>
            </w:r>
          </w:p>
        </w:tc>
        <w:tc>
          <w:tcPr>
            <w:tcW w:type="dxa" w:w="3600"/>
          </w:tcPr>
          <w:p>
            <w:r/>
            <w:r>
              <w:rPr>
                <w:rFonts w:ascii="Times New Roman" w:hAnsi="Times New Roman"/>
                <w:sz w:val="22"/>
              </w:rPr>
              <w:t>Interactive dashboard with 4 tabs</w:t>
            </w:r>
          </w:p>
        </w:tc>
      </w:tr>
      <w:tr>
        <w:tc>
          <w:tcPr>
            <w:tcW w:type="dxa" w:w="3600"/>
          </w:tcPr>
          <w:p>
            <w:r/>
            <w:r>
              <w:rPr>
                <w:rFonts w:ascii="Times New Roman" w:hAnsi="Times New Roman"/>
                <w:sz w:val="22"/>
              </w:rPr>
              <w:t>src/utils.py</w:t>
            </w:r>
          </w:p>
        </w:tc>
        <w:tc>
          <w:tcPr>
            <w:tcW w:type="dxa" w:w="3600"/>
          </w:tcPr>
          <w:p>
            <w:r/>
            <w:r>
              <w:rPr>
                <w:rFonts w:ascii="Times New Roman" w:hAnsi="Times New Roman"/>
                <w:sz w:val="22"/>
              </w:rPr>
              <w:t>647</w:t>
            </w:r>
          </w:p>
        </w:tc>
        <w:tc>
          <w:tcPr>
            <w:tcW w:type="dxa" w:w="3600"/>
          </w:tcPr>
          <w:p>
            <w:r/>
            <w:r>
              <w:rPr>
                <w:rFonts w:ascii="Times New Roman" w:hAnsi="Times New Roman"/>
                <w:sz w:val="22"/>
              </w:rPr>
              <w:t>Reusable helper functions (plotting, evaluation, preprocessing)</w:t>
            </w:r>
          </w:p>
        </w:tc>
      </w:tr>
      <w:tr>
        <w:tc>
          <w:tcPr>
            <w:tcW w:type="dxa" w:w="3600"/>
          </w:tcPr>
          <w:p>
            <w:r/>
            <w:r>
              <w:rPr>
                <w:rFonts w:ascii="Times New Roman" w:hAnsi="Times New Roman"/>
                <w:sz w:val="22"/>
              </w:rPr>
              <w:t>model_artifacts/</w:t>
            </w:r>
          </w:p>
        </w:tc>
        <w:tc>
          <w:tcPr>
            <w:tcW w:type="dxa" w:w="3600"/>
          </w:tcPr>
          <w:p>
            <w:r/>
            <w:r>
              <w:rPr>
                <w:rFonts w:ascii="Times New Roman" w:hAnsi="Times New Roman"/>
                <w:sz w:val="22"/>
              </w:rPr>
              <w:t>6 files (~1.5 MB)</w:t>
            </w:r>
          </w:p>
        </w:tc>
        <w:tc>
          <w:tcPr>
            <w:tcW w:type="dxa" w:w="3600"/>
          </w:tcPr>
          <w:p>
            <w:r/>
            <w:r>
              <w:rPr>
                <w:rFonts w:ascii="Times New Roman" w:hAnsi="Times New Roman"/>
                <w:sz w:val="22"/>
              </w:rPr>
              <w:t>Trained model, scaler, feature names, config, PFI results, population stats</w:t>
            </w:r>
          </w:p>
        </w:tc>
      </w:tr>
    </w:tbl>
    <w:p/>
    <w:p>
      <w:pPr>
        <w:spacing w:after="120"/>
      </w:pPr>
      <w:r>
        <w:rPr>
          <w:rFonts w:ascii="Times New Roman" w:hAnsi="Times New Roman"/>
          <w:sz w:val="24"/>
        </w:rPr>
        <w:t>In total, the project contains approximately 2,247 lines of Python code across the notebook, dashboard, and utility module, plus 24 markdown cells of documentation in the notebook.</w:t>
      </w:r>
    </w:p>
    <w:p>
      <w:pPr>
        <w:spacing w:before="240" w:after="120"/>
      </w:pPr>
      <w:r>
        <w:rPr>
          <w:rFonts w:ascii="Times New Roman" w:hAnsi="Times New Roman"/>
          <w:b/>
          <w:sz w:val="24"/>
        </w:rPr>
        <w:t>4.3 Three Crucial Code Snippets</w:t>
      </w:r>
    </w:p>
    <w:p>
      <w:pPr>
        <w:spacing w:after="80"/>
      </w:pPr>
      <w:r>
        <w:rPr>
          <w:rFonts w:ascii="Times New Roman" w:hAnsi="Times New Roman"/>
          <w:b/>
          <w:sz w:val="24"/>
        </w:rPr>
        <w:t>Snippet 1: SMOTE and GridSearchCV Training Pipeline</w:t>
      </w:r>
    </w:p>
    <w:p>
      <w:pPr>
        <w:spacing w:after="120"/>
      </w:pPr>
      <w:r>
        <w:rPr>
          <w:rFonts w:ascii="Times New Roman" w:hAnsi="Times New Roman"/>
          <w:sz w:val="24"/>
        </w:rPr>
        <w:t>This snippet shows how the training data was balanced with SMOTE and then used to tune the XGBoost classifier via grid search. The key design choice was applying SMOTE before GridSearchCV so that the cross-validation folds within GridSearchCV also see balanced data. The grid tested 27 combinations of learning rate, max depth, and number of estimators.</w:t>
      </w:r>
    </w:p>
    <w:p>
      <w:pPr>
        <w:spacing w:after="40"/>
        <w:ind w:left="432"/>
      </w:pPr>
      <w:r>
        <w:rPr>
          <w:rFonts w:ascii="Courier New" w:hAnsi="Courier New"/>
          <w:sz w:val="18"/>
        </w:rPr>
        <w:t>smote = SMOTE(random_state=42)</w:t>
      </w:r>
    </w:p>
    <w:p>
      <w:pPr>
        <w:spacing w:after="40"/>
        <w:ind w:left="432"/>
      </w:pPr>
      <w:r>
        <w:rPr>
          <w:rFonts w:ascii="Courier New" w:hAnsi="Courier New"/>
          <w:sz w:val="18"/>
        </w:rPr>
        <w:t>X_train_sm, y_train_sm = smote.fit_resample(X_train, y_train)</w:t>
      </w:r>
    </w:p>
    <w:p>
      <w:pPr>
        <w:spacing w:after="40"/>
        <w:ind w:left="432"/>
      </w:pPr>
      <w:r>
        <w:rPr>
          <w:rFonts w:ascii="Courier New" w:hAnsi="Courier New"/>
          <w:sz w:val="18"/>
        </w:rPr>
      </w:r>
    </w:p>
    <w:p>
      <w:pPr>
        <w:spacing w:after="40"/>
        <w:ind w:left="432"/>
      </w:pPr>
      <w:r>
        <w:rPr>
          <w:rFonts w:ascii="Courier New" w:hAnsi="Courier New"/>
          <w:sz w:val="18"/>
        </w:rPr>
        <w:t>xgb_params = {</w:t>
      </w:r>
    </w:p>
    <w:p>
      <w:pPr>
        <w:spacing w:after="40"/>
        <w:ind w:left="432"/>
      </w:pPr>
      <w:r>
        <w:rPr>
          <w:rFonts w:ascii="Courier New" w:hAnsi="Courier New"/>
          <w:sz w:val="18"/>
        </w:rPr>
        <w:t xml:space="preserve">    'n_estimators': [100, 200, 300],</w:t>
      </w:r>
    </w:p>
    <w:p>
      <w:pPr>
        <w:spacing w:after="40"/>
        <w:ind w:left="432"/>
      </w:pPr>
      <w:r>
        <w:rPr>
          <w:rFonts w:ascii="Courier New" w:hAnsi="Courier New"/>
          <w:sz w:val="18"/>
        </w:rPr>
        <w:t xml:space="preserve">    'max_depth': [4, 6, 8],</w:t>
      </w:r>
    </w:p>
    <w:p>
      <w:pPr>
        <w:spacing w:after="40"/>
        <w:ind w:left="432"/>
      </w:pPr>
      <w:r>
        <w:rPr>
          <w:rFonts w:ascii="Courier New" w:hAnsi="Courier New"/>
          <w:sz w:val="18"/>
        </w:rPr>
        <w:t xml:space="preserve">    'learning_rate': [0.05, 0.1, 0.2]</w:t>
      </w:r>
    </w:p>
    <w:p>
      <w:pPr>
        <w:spacing w:after="40"/>
        <w:ind w:left="432"/>
      </w:pPr>
      <w:r>
        <w:rPr>
          <w:rFonts w:ascii="Courier New" w:hAnsi="Courier New"/>
          <w:sz w:val="18"/>
        </w:rPr>
        <w:t>}</w:t>
      </w:r>
    </w:p>
    <w:p>
      <w:pPr>
        <w:spacing w:after="40"/>
        <w:ind w:left="432"/>
      </w:pPr>
      <w:r>
        <w:rPr>
          <w:rFonts w:ascii="Courier New" w:hAnsi="Courier New"/>
          <w:sz w:val="18"/>
        </w:rPr>
        <w:t>xgb_search = GridSearchCV(</w:t>
      </w:r>
    </w:p>
    <w:p>
      <w:pPr>
        <w:spacing w:after="40"/>
        <w:ind w:left="432"/>
      </w:pPr>
      <w:r>
        <w:rPr>
          <w:rFonts w:ascii="Courier New" w:hAnsi="Courier New"/>
          <w:sz w:val="18"/>
        </w:rPr>
        <w:t xml:space="preserve">    XGBClassifier(random_state=42, eval_metric='logloss', n_jobs=-1),</w:t>
      </w:r>
    </w:p>
    <w:p>
      <w:pPr>
        <w:spacing w:after="40"/>
        <w:ind w:left="432"/>
      </w:pPr>
      <w:r>
        <w:rPr>
          <w:rFonts w:ascii="Courier New" w:hAnsi="Courier New"/>
          <w:sz w:val="18"/>
        </w:rPr>
        <w:t xml:space="preserve">    xgb_params, scoring='roc_auc', cv=3, n_jobs=-1</w:t>
      </w:r>
    </w:p>
    <w:p>
      <w:pPr>
        <w:spacing w:after="40"/>
        <w:ind w:left="432"/>
      </w:pPr>
      <w:r>
        <w:rPr>
          <w:rFonts w:ascii="Courier New" w:hAnsi="Courier New"/>
          <w:sz w:val="18"/>
        </w:rPr>
        <w:t>)</w:t>
      </w:r>
    </w:p>
    <w:p>
      <w:pPr>
        <w:spacing w:after="40"/>
        <w:ind w:left="432"/>
      </w:pPr>
      <w:r>
        <w:rPr>
          <w:rFonts w:ascii="Courier New" w:hAnsi="Courier New"/>
          <w:sz w:val="18"/>
        </w:rPr>
        <w:t>xgb_search.fit(X_train_sm, y_train_sm)</w:t>
      </w:r>
    </w:p>
    <w:p>
      <w:pPr>
        <w:spacing w:after="40"/>
        <w:ind w:left="432"/>
      </w:pPr>
      <w:r>
        <w:rPr>
          <w:rFonts w:ascii="Courier New" w:hAnsi="Courier New"/>
          <w:sz w:val="18"/>
        </w:rPr>
        <w:t>xgb = xgb_search.best_estimator_</w:t>
      </w:r>
    </w:p>
    <w:p/>
    <w:p>
      <w:pPr>
        <w:spacing w:after="80"/>
      </w:pPr>
      <w:r>
        <w:rPr>
          <w:rFonts w:ascii="Times New Roman" w:hAnsi="Times New Roman"/>
          <w:b/>
          <w:sz w:val="24"/>
        </w:rPr>
        <w:t>Snippet 2: LACE Comorbidity Approximation from Diagnosis Categories</w:t>
      </w:r>
    </w:p>
    <w:p>
      <w:pPr>
        <w:spacing w:after="120"/>
      </w:pPr>
      <w:r>
        <w:rPr>
          <w:rFonts w:ascii="Times New Roman" w:hAnsi="Times New Roman"/>
          <w:sz w:val="24"/>
        </w:rPr>
        <w:t>The LACE Index requires a Charlson Comorbidity Index (CCI) score, but the dataset does not include one directly. I approximated it using the one-hot encoded diagnosis category columns. Each diagnosis slot (diag_1, diag_2, diag_3) is checked for categories that correspond to CCI-weighted conditions: Diabetes carries a weight of 1, Neoplasms carries 2, and Respiratory and Genitourinary each carry 1. The total is capped at 5, matching the LACE scoring table.</w:t>
      </w:r>
    </w:p>
    <w:p>
      <w:pPr>
        <w:spacing w:after="40"/>
        <w:ind w:left="432"/>
      </w:pPr>
      <w:r>
        <w:rPr>
          <w:rFonts w:ascii="Courier New" w:hAnsi="Courier New"/>
          <w:sz w:val="18"/>
        </w:rPr>
        <w:t>def approx_cci_from_diag_cols(row):</w:t>
      </w:r>
    </w:p>
    <w:p>
      <w:pPr>
        <w:spacing w:after="40"/>
        <w:ind w:left="432"/>
      </w:pPr>
      <w:r>
        <w:rPr>
          <w:rFonts w:ascii="Courier New" w:hAnsi="Courier New"/>
          <w:sz w:val="18"/>
        </w:rPr>
        <w:t xml:space="preserve">    cci = 0</w:t>
      </w:r>
    </w:p>
    <w:p>
      <w:pPr>
        <w:spacing w:after="40"/>
        <w:ind w:left="432"/>
      </w:pPr>
      <w:r>
        <w:rPr>
          <w:rFonts w:ascii="Courier New" w:hAnsi="Courier New"/>
          <w:sz w:val="18"/>
        </w:rPr>
        <w:t xml:space="preserve">    for prefix in ['diag_1_', 'diag_2_', 'diag_3_']:</w:t>
      </w:r>
    </w:p>
    <w:p>
      <w:pPr>
        <w:spacing w:after="40"/>
        <w:ind w:left="432"/>
      </w:pPr>
      <w:r>
        <w:rPr>
          <w:rFonts w:ascii="Courier New" w:hAnsi="Courier New"/>
          <w:sz w:val="18"/>
        </w:rPr>
        <w:t xml:space="preserve">        if row.get(f'{prefix}Diabetes', 0) == 1:      cci += 1</w:t>
      </w:r>
    </w:p>
    <w:p>
      <w:pPr>
        <w:spacing w:after="40"/>
        <w:ind w:left="432"/>
      </w:pPr>
      <w:r>
        <w:rPr>
          <w:rFonts w:ascii="Courier New" w:hAnsi="Courier New"/>
          <w:sz w:val="18"/>
        </w:rPr>
        <w:t xml:space="preserve">        if row.get(f'{prefix}Neoplasms', 0) == 1:     cci += 2</w:t>
      </w:r>
    </w:p>
    <w:p>
      <w:pPr>
        <w:spacing w:after="40"/>
        <w:ind w:left="432"/>
      </w:pPr>
      <w:r>
        <w:rPr>
          <w:rFonts w:ascii="Courier New" w:hAnsi="Courier New"/>
          <w:sz w:val="18"/>
        </w:rPr>
        <w:t xml:space="preserve">        if row.get(f'{prefix}Respiratory', 0) == 1:   cci += 1</w:t>
      </w:r>
    </w:p>
    <w:p>
      <w:pPr>
        <w:spacing w:after="40"/>
        <w:ind w:left="432"/>
      </w:pPr>
      <w:r>
        <w:rPr>
          <w:rFonts w:ascii="Courier New" w:hAnsi="Courier New"/>
          <w:sz w:val="18"/>
        </w:rPr>
        <w:t xml:space="preserve">        if row.get(f'{prefix}Genitourinary', 0) == 1: cci += 1</w:t>
      </w:r>
    </w:p>
    <w:p>
      <w:pPr>
        <w:spacing w:after="40"/>
        <w:ind w:left="432"/>
      </w:pPr>
      <w:r>
        <w:rPr>
          <w:rFonts w:ascii="Courier New" w:hAnsi="Courier New"/>
          <w:sz w:val="18"/>
        </w:rPr>
        <w:t xml:space="preserve">    return min(cci, 5)</w:t>
      </w:r>
    </w:p>
    <w:p/>
    <w:p>
      <w:pPr>
        <w:spacing w:after="80"/>
      </w:pPr>
      <w:r>
        <w:rPr>
          <w:rFonts w:ascii="Times New Roman" w:hAnsi="Times New Roman"/>
          <w:b/>
          <w:sz w:val="24"/>
        </w:rPr>
        <w:t>Snippet 3: Building the Feature Vector for a Single Patient Prediction</w:t>
      </w:r>
    </w:p>
    <w:p>
      <w:pPr>
        <w:spacing w:after="120"/>
      </w:pPr>
      <w:r>
        <w:rPr>
          <w:rFonts w:ascii="Times New Roman" w:hAnsi="Times New Roman"/>
          <w:sz w:val="24"/>
        </w:rPr>
        <w:t>This snippet from the predict_patient() function shows how a single patient's clinical inputs are converted into the 46-column encoded feature vector that the model expects. Numeric features are placed directly, categorical features are one-hot encoded by setting the appropriate dummy column to 1, and the entire vector is scaled using the training scaler before prediction. This same logic powers both the notebook's interactive prediction function and the Streamlit dashboard.</w:t>
      </w:r>
    </w:p>
    <w:p>
      <w:pPr>
        <w:spacing w:after="40"/>
        <w:ind w:left="432"/>
      </w:pPr>
      <w:r>
        <w:rPr>
          <w:rFonts w:ascii="Courier New" w:hAnsi="Courier New"/>
          <w:sz w:val="18"/>
        </w:rPr>
        <w:t>patient_encoded = pd.DataFrame(0, index=[0], columns=feature_names, dtype=float)</w:t>
      </w:r>
    </w:p>
    <w:p>
      <w:pPr>
        <w:spacing w:after="40"/>
        <w:ind w:left="432"/>
      </w:pPr>
      <w:r>
        <w:rPr>
          <w:rFonts w:ascii="Courier New" w:hAnsi="Courier New"/>
          <w:sz w:val="18"/>
        </w:rPr>
      </w:r>
    </w:p>
    <w:p>
      <w:pPr>
        <w:spacing w:after="40"/>
        <w:ind w:left="432"/>
      </w:pPr>
      <w:r>
        <w:rPr>
          <w:rFonts w:ascii="Courier New" w:hAnsi="Courier New"/>
          <w:sz w:val="18"/>
        </w:rPr>
        <w:t>for col, val in raw_numeric.items():</w:t>
      </w:r>
    </w:p>
    <w:p>
      <w:pPr>
        <w:spacing w:after="40"/>
        <w:ind w:left="432"/>
      </w:pPr>
      <w:r>
        <w:rPr>
          <w:rFonts w:ascii="Courier New" w:hAnsi="Courier New"/>
          <w:sz w:val="18"/>
        </w:rPr>
        <w:t xml:space="preserve">    if col in feature_names:</w:t>
      </w:r>
    </w:p>
    <w:p>
      <w:pPr>
        <w:spacing w:after="40"/>
        <w:ind w:left="432"/>
      </w:pPr>
      <w:r>
        <w:rPr>
          <w:rFonts w:ascii="Courier New" w:hAnsi="Courier New"/>
          <w:sz w:val="18"/>
        </w:rPr>
        <w:t xml:space="preserve">        patient_encoded[col] = val</w:t>
      </w:r>
    </w:p>
    <w:p>
      <w:pPr>
        <w:spacing w:after="40"/>
        <w:ind w:left="432"/>
      </w:pPr>
      <w:r>
        <w:rPr>
          <w:rFonts w:ascii="Courier New" w:hAnsi="Courier New"/>
          <w:sz w:val="18"/>
        </w:rPr>
      </w:r>
    </w:p>
    <w:p>
      <w:pPr>
        <w:spacing w:after="40"/>
        <w:ind w:left="432"/>
      </w:pPr>
      <w:r>
        <w:rPr>
          <w:rFonts w:ascii="Courier New" w:hAnsi="Courier New"/>
          <w:sz w:val="18"/>
        </w:rPr>
        <w:t>for col, val in categorical.items():</w:t>
      </w:r>
    </w:p>
    <w:p>
      <w:pPr>
        <w:spacing w:after="40"/>
        <w:ind w:left="432"/>
      </w:pPr>
      <w:r>
        <w:rPr>
          <w:rFonts w:ascii="Courier New" w:hAnsi="Courier New"/>
          <w:sz w:val="18"/>
        </w:rPr>
        <w:t xml:space="preserve">    dummy_col = f'{col}_{val}'</w:t>
      </w:r>
    </w:p>
    <w:p>
      <w:pPr>
        <w:spacing w:after="40"/>
        <w:ind w:left="432"/>
      </w:pPr>
      <w:r>
        <w:rPr>
          <w:rFonts w:ascii="Courier New" w:hAnsi="Courier New"/>
          <w:sz w:val="18"/>
        </w:rPr>
        <w:t xml:space="preserve">    if dummy_col in feature_names:</w:t>
      </w:r>
    </w:p>
    <w:p>
      <w:pPr>
        <w:spacing w:after="40"/>
        <w:ind w:left="432"/>
      </w:pPr>
      <w:r>
        <w:rPr>
          <w:rFonts w:ascii="Courier New" w:hAnsi="Courier New"/>
          <w:sz w:val="18"/>
        </w:rPr>
        <w:t xml:space="preserve">        patient_encoded[dummy_col] = 1</w:t>
      </w:r>
    </w:p>
    <w:p>
      <w:pPr>
        <w:spacing w:after="40"/>
        <w:ind w:left="432"/>
      </w:pPr>
      <w:r>
        <w:rPr>
          <w:rFonts w:ascii="Courier New" w:hAnsi="Courier New"/>
          <w:sz w:val="18"/>
        </w:rPr>
      </w:r>
    </w:p>
    <w:p>
      <w:pPr>
        <w:spacing w:after="40"/>
        <w:ind w:left="432"/>
      </w:pPr>
      <w:r>
        <w:rPr>
          <w:rFonts w:ascii="Courier New" w:hAnsi="Courier New"/>
          <w:sz w:val="18"/>
        </w:rPr>
        <w:t>patient_scaled = pd.DataFrame(</w:t>
      </w:r>
    </w:p>
    <w:p>
      <w:pPr>
        <w:spacing w:after="40"/>
        <w:ind w:left="432"/>
      </w:pPr>
      <w:r>
        <w:rPr>
          <w:rFonts w:ascii="Courier New" w:hAnsi="Courier New"/>
          <w:sz w:val="18"/>
        </w:rPr>
        <w:t xml:space="preserve">    scaler.transform(patient_encoded), columns=feature_names</w:t>
      </w:r>
    </w:p>
    <w:p>
      <w:pPr>
        <w:spacing w:after="40"/>
        <w:ind w:left="432"/>
      </w:pPr>
      <w:r>
        <w:rPr>
          <w:rFonts w:ascii="Courier New" w:hAnsi="Courier New"/>
          <w:sz w:val="18"/>
        </w:rPr>
        <w:t>)</w:t>
      </w:r>
    </w:p>
    <w:p>
      <w:pPr>
        <w:spacing w:after="40"/>
        <w:ind w:left="432"/>
      </w:pPr>
      <w:r>
        <w:rPr>
          <w:rFonts w:ascii="Courier New" w:hAnsi="Courier New"/>
          <w:sz w:val="18"/>
        </w:rPr>
        <w:t>prob = best_model.predict_proba(patient_scaled)[0, 1]</w:t>
      </w:r>
    </w:p>
    <w:p>
      <w:r>
        <w:br w:type="page"/>
      </w:r>
    </w:p>
    <w:p>
      <w:pPr>
        <w:spacing w:before="240" w:after="120"/>
      </w:pPr>
      <w:r>
        <w:rPr>
          <w:rFonts w:ascii="Times New Roman" w:hAnsi="Times New Roman"/>
          <w:b/>
          <w:sz w:val="28"/>
        </w:rPr>
        <w:t>5. Results of Running Software</w:t>
      </w:r>
    </w:p>
    <w:p>
      <w:pPr>
        <w:spacing w:before="240" w:after="120"/>
      </w:pPr>
      <w:r>
        <w:rPr>
          <w:rFonts w:ascii="Times New Roman" w:hAnsi="Times New Roman"/>
          <w:b/>
          <w:sz w:val="24"/>
        </w:rPr>
        <w:t>5.1 Dataset and Experiments</w:t>
      </w:r>
    </w:p>
    <w:p>
      <w:pPr>
        <w:spacing w:after="120"/>
      </w:pPr>
      <w:r>
        <w:rPr>
          <w:rFonts w:ascii="Times New Roman" w:hAnsi="Times New Roman"/>
          <w:sz w:val="24"/>
        </w:rPr>
        <w:t>All experiments were run on the Diabetes 130-US Hospitals dataset. After data cleaning, 99,340 patient encounters remained. After one-hot encoding, the feature matrix had 46 columns. The data was split into a training set of 79,472 encounters and a test set of 19,868 encounters using an 80/20 stratified split. SMOTE was applied to the training set only, bringing both classes to 70,421 samples each. All evaluation metrics reported below are computed on the untouched test set.</w:t>
      </w:r>
    </w:p>
    <w:p>
      <w:pPr>
        <w:jc w:val="center"/>
      </w:pPr>
      <w:r>
        <w:drawing>
          <wp:inline xmlns:a="http://schemas.openxmlformats.org/drawingml/2006/main" xmlns:pic="http://schemas.openxmlformats.org/drawingml/2006/picture">
            <wp:extent cx="5303520" cy="1620520"/>
            <wp:docPr id="3" name="Picture 3"/>
            <wp:cNvGraphicFramePr>
              <a:graphicFrameLocks noChangeAspect="1"/>
            </wp:cNvGraphicFramePr>
            <a:graphic>
              <a:graphicData uri="http://schemas.openxmlformats.org/drawingml/2006/picture">
                <pic:pic>
                  <pic:nvPicPr>
                    <pic:cNvPr id="0" name="cell23_fig0.png"/>
                    <pic:cNvPicPr/>
                  </pic:nvPicPr>
                  <pic:blipFill>
                    <a:blip r:embed="rId11"/>
                    <a:stretch>
                      <a:fillRect/>
                    </a:stretch>
                  </pic:blipFill>
                  <pic:spPr>
                    <a:xfrm>
                      <a:off x="0" y="0"/>
                      <a:ext cx="5303520" cy="1620520"/>
                    </a:xfrm>
                    <a:prstGeom prst="rect"/>
                  </pic:spPr>
                </pic:pic>
              </a:graphicData>
            </a:graphic>
          </wp:inline>
        </w:drawing>
      </w:r>
    </w:p>
    <w:p>
      <w:pPr>
        <w:spacing w:after="200"/>
        <w:jc w:val="center"/>
      </w:pPr>
      <w:r>
        <w:rPr>
          <w:rFonts w:ascii="Times New Roman" w:hAnsi="Times New Roman"/>
          <w:i/>
          <w:sz w:val="22"/>
        </w:rPr>
        <w:t>Fig 3. Readmission rate by age group (left) and by number of prior inpatient visits (right). Prior inpatient visits show a much stronger relationship with readmission than age.</w:t>
      </w:r>
    </w:p>
    <w:p>
      <w:pPr>
        <w:spacing w:before="240" w:after="120"/>
      </w:pPr>
      <w:r>
        <w:rPr>
          <w:rFonts w:ascii="Times New Roman" w:hAnsi="Times New Roman"/>
          <w:b/>
          <w:sz w:val="24"/>
        </w:rPr>
        <w:t>5.2 Model Training and Evaluation</w:t>
      </w:r>
    </w:p>
    <w:p>
      <w:pPr>
        <w:spacing w:after="120"/>
      </w:pPr>
      <w:r>
        <w:rPr>
          <w:rFonts w:ascii="Times New Roman" w:hAnsi="Times New Roman"/>
          <w:sz w:val="24"/>
        </w:rPr>
        <w:t>Table 3 summarizes the GridSearchCV results for all three models. XGBoost achieved the highest test ROC-AUC (0.6648), and all three models showed stable cross-validation scores with low standard deviation.</w:t>
      </w:r>
    </w:p>
    <w:p>
      <w:pPr>
        <w:spacing w:after="80"/>
        <w:jc w:val="center"/>
      </w:pPr>
      <w:r>
        <w:rPr>
          <w:rFonts w:ascii="Times New Roman" w:hAnsi="Times New Roman"/>
          <w:i/>
          <w:sz w:val="22"/>
        </w:rPr>
        <w:t>Table 3. Model comparison on the held-out test set.</w:t>
      </w:r>
    </w:p>
    <w:tbl>
      <w:tblPr>
        <w:tblStyle w:val="TableGrid"/>
        <w:tblW w:type="auto" w:w="0"/>
        <w:jc w:val="center"/>
        <w:tblLook w:firstColumn="1" w:firstRow="1" w:lastColumn="0" w:lastRow="0" w:noHBand="0" w:noVBand="1" w:val="04A0"/>
      </w:tblPr>
      <w:tblGrid>
        <w:gridCol w:w="2160"/>
        <w:gridCol w:w="2160"/>
        <w:gridCol w:w="2160"/>
        <w:gridCol w:w="2160"/>
        <w:gridCol w:w="2160"/>
      </w:tblGrid>
      <w:tr>
        <w:tc>
          <w:tcPr>
            <w:tcW w:type="dxa" w:w="2160"/>
          </w:tcPr>
          <w:p>
            <w:r/>
            <w:r>
              <w:rPr>
                <w:rFonts w:ascii="Times New Roman" w:hAnsi="Times New Roman"/>
                <w:b/>
                <w:sz w:val="22"/>
              </w:rPr>
              <w:t>Model</w:t>
            </w:r>
          </w:p>
        </w:tc>
        <w:tc>
          <w:tcPr>
            <w:tcW w:type="dxa" w:w="2160"/>
          </w:tcPr>
          <w:p>
            <w:r/>
            <w:r>
              <w:rPr>
                <w:rFonts w:ascii="Times New Roman" w:hAnsi="Times New Roman"/>
                <w:b/>
                <w:sz w:val="22"/>
              </w:rPr>
              <w:t>Best Parameters</w:t>
            </w:r>
          </w:p>
        </w:tc>
        <w:tc>
          <w:tcPr>
            <w:tcW w:type="dxa" w:w="2160"/>
          </w:tcPr>
          <w:p>
            <w:r/>
            <w:r>
              <w:rPr>
                <w:rFonts w:ascii="Times New Roman" w:hAnsi="Times New Roman"/>
                <w:b/>
                <w:sz w:val="22"/>
              </w:rPr>
              <w:t>Test ROC-AUC</w:t>
            </w:r>
          </w:p>
        </w:tc>
        <w:tc>
          <w:tcPr>
            <w:tcW w:type="dxa" w:w="2160"/>
          </w:tcPr>
          <w:p>
            <w:r/>
            <w:r>
              <w:rPr>
                <w:rFonts w:ascii="Times New Roman" w:hAnsi="Times New Roman"/>
                <w:b/>
                <w:sz w:val="22"/>
              </w:rPr>
              <w:t>Test Accuracy</w:t>
            </w:r>
          </w:p>
        </w:tc>
        <w:tc>
          <w:tcPr>
            <w:tcW w:type="dxa" w:w="2160"/>
          </w:tcPr>
          <w:p>
            <w:r/>
            <w:r>
              <w:rPr>
                <w:rFonts w:ascii="Times New Roman" w:hAnsi="Times New Roman"/>
                <w:b/>
                <w:sz w:val="22"/>
              </w:rPr>
              <w:t>Test F1</w:t>
            </w:r>
          </w:p>
        </w:tc>
      </w:tr>
      <w:tr>
        <w:tc>
          <w:tcPr>
            <w:tcW w:type="dxa" w:w="2160"/>
          </w:tcPr>
          <w:p>
            <w:r/>
            <w:r>
              <w:rPr>
                <w:rFonts w:ascii="Times New Roman" w:hAnsi="Times New Roman"/>
                <w:sz w:val="22"/>
              </w:rPr>
              <w:t>Logistic Regression</w:t>
            </w:r>
          </w:p>
        </w:tc>
        <w:tc>
          <w:tcPr>
            <w:tcW w:type="dxa" w:w="2160"/>
          </w:tcPr>
          <w:p>
            <w:r/>
            <w:r>
              <w:rPr>
                <w:rFonts w:ascii="Times New Roman" w:hAnsi="Times New Roman"/>
                <w:sz w:val="22"/>
              </w:rPr>
              <w:t>C=0.01, solver=lbfgs</w:t>
            </w:r>
          </w:p>
        </w:tc>
        <w:tc>
          <w:tcPr>
            <w:tcW w:type="dxa" w:w="2160"/>
          </w:tcPr>
          <w:p>
            <w:r/>
            <w:r>
              <w:rPr>
                <w:rFonts w:ascii="Times New Roman" w:hAnsi="Times New Roman"/>
                <w:sz w:val="22"/>
              </w:rPr>
              <w:t>0.6418</w:t>
            </w:r>
          </w:p>
        </w:tc>
        <w:tc>
          <w:tcPr>
            <w:tcW w:type="dxa" w:w="2160"/>
          </w:tcPr>
          <w:p>
            <w:r/>
            <w:r>
              <w:rPr>
                <w:rFonts w:ascii="Times New Roman" w:hAnsi="Times New Roman"/>
                <w:sz w:val="22"/>
              </w:rPr>
              <w:t>64.1%</w:t>
            </w:r>
          </w:p>
        </w:tc>
        <w:tc>
          <w:tcPr>
            <w:tcW w:type="dxa" w:w="2160"/>
          </w:tcPr>
          <w:p>
            <w:r/>
            <w:r>
              <w:rPr>
                <w:rFonts w:ascii="Times New Roman" w:hAnsi="Times New Roman"/>
                <w:sz w:val="22"/>
              </w:rPr>
              <w:t>0.7053</w:t>
            </w:r>
          </w:p>
        </w:tc>
      </w:tr>
      <w:tr>
        <w:tc>
          <w:tcPr>
            <w:tcW w:type="dxa" w:w="2160"/>
          </w:tcPr>
          <w:p>
            <w:r/>
            <w:r>
              <w:rPr>
                <w:rFonts w:ascii="Times New Roman" w:hAnsi="Times New Roman"/>
                <w:sz w:val="22"/>
              </w:rPr>
              <w:t>Random Forest</w:t>
            </w:r>
          </w:p>
        </w:tc>
        <w:tc>
          <w:tcPr>
            <w:tcW w:type="dxa" w:w="2160"/>
          </w:tcPr>
          <w:p>
            <w:r/>
            <w:r>
              <w:rPr>
                <w:rFonts w:ascii="Times New Roman" w:hAnsi="Times New Roman"/>
                <w:sz w:val="22"/>
              </w:rPr>
              <w:t>n_est=200, depth=20</w:t>
            </w:r>
          </w:p>
        </w:tc>
        <w:tc>
          <w:tcPr>
            <w:tcW w:type="dxa" w:w="2160"/>
          </w:tcPr>
          <w:p>
            <w:r/>
            <w:r>
              <w:rPr>
                <w:rFonts w:ascii="Times New Roman" w:hAnsi="Times New Roman"/>
                <w:sz w:val="22"/>
              </w:rPr>
              <w:t>0.6470</w:t>
            </w:r>
          </w:p>
        </w:tc>
        <w:tc>
          <w:tcPr>
            <w:tcW w:type="dxa" w:w="2160"/>
          </w:tcPr>
          <w:p>
            <w:r/>
            <w:r>
              <w:rPr>
                <w:rFonts w:ascii="Times New Roman" w:hAnsi="Times New Roman"/>
                <w:sz w:val="22"/>
              </w:rPr>
              <w:t>88.5%</w:t>
            </w:r>
          </w:p>
        </w:tc>
        <w:tc>
          <w:tcPr>
            <w:tcW w:type="dxa" w:w="2160"/>
          </w:tcPr>
          <w:p>
            <w:r/>
            <w:r>
              <w:rPr>
                <w:rFonts w:ascii="Times New Roman" w:hAnsi="Times New Roman"/>
                <w:sz w:val="22"/>
              </w:rPr>
              <w:t>0.8374</w:t>
            </w:r>
          </w:p>
        </w:tc>
      </w:tr>
      <w:tr>
        <w:tc>
          <w:tcPr>
            <w:tcW w:type="dxa" w:w="2160"/>
          </w:tcPr>
          <w:p>
            <w:r/>
            <w:r>
              <w:rPr>
                <w:rFonts w:ascii="Times New Roman" w:hAnsi="Times New Roman"/>
                <w:sz w:val="22"/>
              </w:rPr>
              <w:t>XGBoost</w:t>
            </w:r>
          </w:p>
        </w:tc>
        <w:tc>
          <w:tcPr>
            <w:tcW w:type="dxa" w:w="2160"/>
          </w:tcPr>
          <w:p>
            <w:r/>
            <w:r>
              <w:rPr>
                <w:rFonts w:ascii="Times New Roman" w:hAnsi="Times New Roman"/>
                <w:sz w:val="22"/>
              </w:rPr>
              <w:t>lr=0.05, depth=8, n_est=100</w:t>
            </w:r>
          </w:p>
        </w:tc>
        <w:tc>
          <w:tcPr>
            <w:tcW w:type="dxa" w:w="2160"/>
          </w:tcPr>
          <w:p>
            <w:r/>
            <w:r>
              <w:rPr>
                <w:rFonts w:ascii="Times New Roman" w:hAnsi="Times New Roman"/>
                <w:sz w:val="22"/>
              </w:rPr>
              <w:t>0.6648</w:t>
            </w:r>
          </w:p>
        </w:tc>
        <w:tc>
          <w:tcPr>
            <w:tcW w:type="dxa" w:w="2160"/>
          </w:tcPr>
          <w:p>
            <w:r/>
            <w:r>
              <w:rPr>
                <w:rFonts w:ascii="Times New Roman" w:hAnsi="Times New Roman"/>
                <w:sz w:val="22"/>
              </w:rPr>
              <w:t>88.6%</w:t>
            </w:r>
          </w:p>
        </w:tc>
        <w:tc>
          <w:tcPr>
            <w:tcW w:type="dxa" w:w="2160"/>
          </w:tcPr>
          <w:p>
            <w:r/>
            <w:r>
              <w:rPr>
                <w:rFonts w:ascii="Times New Roman" w:hAnsi="Times New Roman"/>
                <w:sz w:val="22"/>
              </w:rPr>
              <w:t>0.8406</w:t>
            </w:r>
          </w:p>
        </w:tc>
      </w:tr>
    </w:tbl>
    <w:p/>
    <w:p>
      <w:pPr>
        <w:spacing w:after="120"/>
      </w:pPr>
      <w:r>
        <w:rPr>
          <w:rFonts w:ascii="Times New Roman" w:hAnsi="Times New Roman"/>
          <w:sz w:val="24"/>
        </w:rPr>
        <w:t>I selected XGBoost as the best model based on its highest ROC-AUC score. While Random Forest had comparable accuracy and F1, XGBoost showed better discriminative ability between the two classes as measured by ROC-AUC, which is more informative than accuracy for imbalanced datasets.</w:t>
      </w:r>
    </w:p>
    <w:p>
      <w:pPr>
        <w:jc w:val="center"/>
      </w:pPr>
      <w:r>
        <w:drawing>
          <wp:inline xmlns:a="http://schemas.openxmlformats.org/drawingml/2006/main" xmlns:pic="http://schemas.openxmlformats.org/drawingml/2006/picture">
            <wp:extent cx="4572000" cy="3541617"/>
            <wp:docPr id="4" name="Picture 4"/>
            <wp:cNvGraphicFramePr>
              <a:graphicFrameLocks noChangeAspect="1"/>
            </wp:cNvGraphicFramePr>
            <a:graphic>
              <a:graphicData uri="http://schemas.openxmlformats.org/drawingml/2006/picture">
                <pic:pic>
                  <pic:nvPicPr>
                    <pic:cNvPr id="0" name="cell38_fig0.png"/>
                    <pic:cNvPicPr/>
                  </pic:nvPicPr>
                  <pic:blipFill>
                    <a:blip r:embed="rId12"/>
                    <a:stretch>
                      <a:fillRect/>
                    </a:stretch>
                  </pic:blipFill>
                  <pic:spPr>
                    <a:xfrm>
                      <a:off x="0" y="0"/>
                      <a:ext cx="4572000" cy="3541617"/>
                    </a:xfrm>
                    <a:prstGeom prst="rect"/>
                  </pic:spPr>
                </pic:pic>
              </a:graphicData>
            </a:graphic>
          </wp:inline>
        </w:drawing>
      </w:r>
    </w:p>
    <w:p>
      <w:pPr>
        <w:spacing w:after="200"/>
        <w:jc w:val="center"/>
      </w:pPr>
      <w:r>
        <w:rPr>
          <w:rFonts w:ascii="Times New Roman" w:hAnsi="Times New Roman"/>
          <w:i/>
          <w:sz w:val="22"/>
        </w:rPr>
        <w:t>Fig 4. ROC curves for all three models on the test set. XGBoost achieves the highest AUC (0.6648).</w:t>
      </w:r>
    </w:p>
    <w:p>
      <w:pPr>
        <w:jc w:val="center"/>
      </w:pPr>
      <w:r>
        <w:drawing>
          <wp:inline xmlns:a="http://schemas.openxmlformats.org/drawingml/2006/main" xmlns:pic="http://schemas.openxmlformats.org/drawingml/2006/picture">
            <wp:extent cx="5303520" cy="1575973"/>
            <wp:docPr id="5" name="Picture 5"/>
            <wp:cNvGraphicFramePr>
              <a:graphicFrameLocks noChangeAspect="1"/>
            </wp:cNvGraphicFramePr>
            <a:graphic>
              <a:graphicData uri="http://schemas.openxmlformats.org/drawingml/2006/picture">
                <pic:pic>
                  <pic:nvPicPr>
                    <pic:cNvPr id="0" name="cell37_fig0.png"/>
                    <pic:cNvPicPr/>
                  </pic:nvPicPr>
                  <pic:blipFill>
                    <a:blip r:embed="rId13"/>
                    <a:stretch>
                      <a:fillRect/>
                    </a:stretch>
                  </pic:blipFill>
                  <pic:spPr>
                    <a:xfrm>
                      <a:off x="0" y="0"/>
                      <a:ext cx="5303520" cy="1575973"/>
                    </a:xfrm>
                    <a:prstGeom prst="rect"/>
                  </pic:spPr>
                </pic:pic>
              </a:graphicData>
            </a:graphic>
          </wp:inline>
        </w:drawing>
      </w:r>
    </w:p>
    <w:p>
      <w:pPr>
        <w:spacing w:after="200"/>
        <w:jc w:val="center"/>
      </w:pPr>
      <w:r>
        <w:rPr>
          <w:rFonts w:ascii="Times New Roman" w:hAnsi="Times New Roman"/>
          <w:i/>
          <w:sz w:val="22"/>
        </w:rPr>
        <w:t>Fig 5. Confusion matrices for all three models at the default threshold (0.50).</w:t>
      </w:r>
    </w:p>
    <w:p>
      <w:pPr>
        <w:spacing w:after="120"/>
      </w:pPr>
      <w:r>
        <w:rPr>
          <w:rFonts w:ascii="Times New Roman" w:hAnsi="Times New Roman"/>
          <w:sz w:val="24"/>
        </w:rPr>
        <w:t>The confusion matrices at the default 0.50 threshold (Fig 5) reveal a common problem with imbalanced datasets: both Random Forest and XGBoost achieve high accuracy by mostly predicting the majority class. Logistic Regression has lower accuracy but actually detects more readmissions. This motivated the threshold optimization in the next section.</w:t>
      </w:r>
    </w:p>
    <w:p>
      <w:pPr>
        <w:jc w:val="center"/>
      </w:pPr>
      <w:r>
        <w:drawing>
          <wp:inline xmlns:a="http://schemas.openxmlformats.org/drawingml/2006/main" xmlns:pic="http://schemas.openxmlformats.org/drawingml/2006/picture">
            <wp:extent cx="4114800" cy="2442117"/>
            <wp:docPr id="6" name="Picture 6"/>
            <wp:cNvGraphicFramePr>
              <a:graphicFrameLocks noChangeAspect="1"/>
            </wp:cNvGraphicFramePr>
            <a:graphic>
              <a:graphicData uri="http://schemas.openxmlformats.org/drawingml/2006/picture">
                <pic:pic>
                  <pic:nvPicPr>
                    <pic:cNvPr id="0" name="cell41_fig1.png"/>
                    <pic:cNvPicPr/>
                  </pic:nvPicPr>
                  <pic:blipFill>
                    <a:blip r:embed="rId14"/>
                    <a:stretch>
                      <a:fillRect/>
                    </a:stretch>
                  </pic:blipFill>
                  <pic:spPr>
                    <a:xfrm>
                      <a:off x="0" y="0"/>
                      <a:ext cx="4114800" cy="2442117"/>
                    </a:xfrm>
                    <a:prstGeom prst="rect"/>
                  </pic:spPr>
                </pic:pic>
              </a:graphicData>
            </a:graphic>
          </wp:inline>
        </w:drawing>
      </w:r>
    </w:p>
    <w:p>
      <w:pPr>
        <w:spacing w:after="200"/>
        <w:jc w:val="center"/>
      </w:pPr>
      <w:r>
        <w:rPr>
          <w:rFonts w:ascii="Times New Roman" w:hAnsi="Times New Roman"/>
          <w:i/>
          <w:sz w:val="22"/>
        </w:rPr>
        <w:t>Fig 6. Five-fold stratified cross-validation stability (ROC-AUC) for all three models.</w:t>
      </w:r>
    </w:p>
    <w:p>
      <w:pPr>
        <w:spacing w:before="240" w:after="120"/>
      </w:pPr>
      <w:r>
        <w:rPr>
          <w:rFonts w:ascii="Times New Roman" w:hAnsi="Times New Roman"/>
          <w:b/>
          <w:sz w:val="24"/>
        </w:rPr>
        <w:t>5.3 Threshold Optimization</w:t>
      </w:r>
    </w:p>
    <w:p>
      <w:pPr>
        <w:spacing w:after="120"/>
      </w:pPr>
      <w:r>
        <w:rPr>
          <w:rFonts w:ascii="Times New Roman" w:hAnsi="Times New Roman"/>
          <w:sz w:val="24"/>
        </w:rPr>
        <w:t>At the default threshold of 0.50, XGBoost caught only 4% of actual readmissions (recall = 0.04). This is unacceptable in a clinical setting where missing a high-risk patient has real consequences. I swept thresholds from 0.01 to 0.99 and selected 0.20 as the optimal threshold because it maximized the F1-score on the test set. Table 4 compares the two thresholds.</w:t>
      </w:r>
    </w:p>
    <w:p>
      <w:pPr>
        <w:spacing w:after="80"/>
        <w:jc w:val="center"/>
      </w:pPr>
      <w:r>
        <w:rPr>
          <w:rFonts w:ascii="Times New Roman" w:hAnsi="Times New Roman"/>
          <w:i/>
          <w:sz w:val="22"/>
        </w:rPr>
        <w:t>Table 4. Effect of threshold optimization on XGBoost performance.</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Metric</w:t>
            </w:r>
          </w:p>
        </w:tc>
        <w:tc>
          <w:tcPr>
            <w:tcW w:type="dxa" w:w="2700"/>
          </w:tcPr>
          <w:p>
            <w:r/>
            <w:r>
              <w:rPr>
                <w:rFonts w:ascii="Times New Roman" w:hAnsi="Times New Roman"/>
                <w:b/>
                <w:sz w:val="22"/>
              </w:rPr>
              <w:t>Threshold = 0.50</w:t>
            </w:r>
          </w:p>
        </w:tc>
        <w:tc>
          <w:tcPr>
            <w:tcW w:type="dxa" w:w="2700"/>
          </w:tcPr>
          <w:p>
            <w:r/>
            <w:r>
              <w:rPr>
                <w:rFonts w:ascii="Times New Roman" w:hAnsi="Times New Roman"/>
                <w:b/>
                <w:sz w:val="22"/>
              </w:rPr>
              <w:t>Threshold = 0.20</w:t>
            </w:r>
          </w:p>
        </w:tc>
        <w:tc>
          <w:tcPr>
            <w:tcW w:type="dxa" w:w="2700"/>
          </w:tcPr>
          <w:p>
            <w:r/>
            <w:r>
              <w:rPr>
                <w:rFonts w:ascii="Times New Roman" w:hAnsi="Times New Roman"/>
                <w:b/>
                <w:sz w:val="22"/>
              </w:rPr>
              <w:t>Change</w:t>
            </w:r>
          </w:p>
        </w:tc>
      </w:tr>
      <w:tr>
        <w:tc>
          <w:tcPr>
            <w:tcW w:type="dxa" w:w="2700"/>
          </w:tcPr>
          <w:p>
            <w:r/>
            <w:r>
              <w:rPr>
                <w:rFonts w:ascii="Times New Roman" w:hAnsi="Times New Roman"/>
                <w:sz w:val="22"/>
              </w:rPr>
              <w:t>Precision</w:t>
            </w:r>
          </w:p>
        </w:tc>
        <w:tc>
          <w:tcPr>
            <w:tcW w:type="dxa" w:w="2700"/>
          </w:tcPr>
          <w:p>
            <w:r/>
            <w:r>
              <w:rPr>
                <w:rFonts w:ascii="Times New Roman" w:hAnsi="Times New Roman"/>
                <w:sz w:val="22"/>
              </w:rPr>
              <w:t>50%</w:t>
            </w:r>
          </w:p>
        </w:tc>
        <w:tc>
          <w:tcPr>
            <w:tcW w:type="dxa" w:w="2700"/>
          </w:tcPr>
          <w:p>
            <w:r/>
            <w:r>
              <w:rPr>
                <w:rFonts w:ascii="Times New Roman" w:hAnsi="Times New Roman"/>
                <w:sz w:val="22"/>
              </w:rPr>
              <w:t>23%</w:t>
            </w:r>
          </w:p>
        </w:tc>
        <w:tc>
          <w:tcPr>
            <w:tcW w:type="dxa" w:w="2700"/>
          </w:tcPr>
          <w:p>
            <w:r/>
            <w:r>
              <w:rPr>
                <w:rFonts w:ascii="Times New Roman" w:hAnsi="Times New Roman"/>
                <w:sz w:val="22"/>
              </w:rPr>
              <w:t>-27%</w:t>
            </w:r>
          </w:p>
        </w:tc>
      </w:tr>
      <w:tr>
        <w:tc>
          <w:tcPr>
            <w:tcW w:type="dxa" w:w="2700"/>
          </w:tcPr>
          <w:p>
            <w:r/>
            <w:r>
              <w:rPr>
                <w:rFonts w:ascii="Times New Roman" w:hAnsi="Times New Roman"/>
                <w:sz w:val="22"/>
              </w:rPr>
              <w:t>Recall</w:t>
            </w:r>
          </w:p>
        </w:tc>
        <w:tc>
          <w:tcPr>
            <w:tcW w:type="dxa" w:w="2700"/>
          </w:tcPr>
          <w:p>
            <w:r/>
            <w:r>
              <w:rPr>
                <w:rFonts w:ascii="Times New Roman" w:hAnsi="Times New Roman"/>
                <w:sz w:val="22"/>
              </w:rPr>
              <w:t>4%</w:t>
            </w:r>
          </w:p>
        </w:tc>
        <w:tc>
          <w:tcPr>
            <w:tcW w:type="dxa" w:w="2700"/>
          </w:tcPr>
          <w:p>
            <w:r/>
            <w:r>
              <w:rPr>
                <w:rFonts w:ascii="Times New Roman" w:hAnsi="Times New Roman"/>
                <w:sz w:val="22"/>
              </w:rPr>
              <w:t>35%</w:t>
            </w:r>
          </w:p>
        </w:tc>
        <w:tc>
          <w:tcPr>
            <w:tcW w:type="dxa" w:w="2700"/>
          </w:tcPr>
          <w:p>
            <w:r/>
            <w:r>
              <w:rPr>
                <w:rFonts w:ascii="Times New Roman" w:hAnsi="Times New Roman"/>
                <w:sz w:val="22"/>
              </w:rPr>
              <w:t>+31%</w:t>
            </w:r>
          </w:p>
        </w:tc>
      </w:tr>
      <w:tr>
        <w:tc>
          <w:tcPr>
            <w:tcW w:type="dxa" w:w="2700"/>
          </w:tcPr>
          <w:p>
            <w:r/>
            <w:r>
              <w:rPr>
                <w:rFonts w:ascii="Times New Roman" w:hAnsi="Times New Roman"/>
                <w:sz w:val="22"/>
              </w:rPr>
              <w:t>F1-Score</w:t>
            </w:r>
          </w:p>
        </w:tc>
        <w:tc>
          <w:tcPr>
            <w:tcW w:type="dxa" w:w="2700"/>
          </w:tcPr>
          <w:p>
            <w:r/>
            <w:r>
              <w:rPr>
                <w:rFonts w:ascii="Times New Roman" w:hAnsi="Times New Roman"/>
                <w:sz w:val="22"/>
              </w:rPr>
              <w:t>0.07</w:t>
            </w:r>
          </w:p>
        </w:tc>
        <w:tc>
          <w:tcPr>
            <w:tcW w:type="dxa" w:w="2700"/>
          </w:tcPr>
          <w:p>
            <w:r/>
            <w:r>
              <w:rPr>
                <w:rFonts w:ascii="Times New Roman" w:hAnsi="Times New Roman"/>
                <w:sz w:val="22"/>
              </w:rPr>
              <w:t>0.28</w:t>
            </w:r>
          </w:p>
        </w:tc>
        <w:tc>
          <w:tcPr>
            <w:tcW w:type="dxa" w:w="2700"/>
          </w:tcPr>
          <w:p>
            <w:r/>
            <w:r>
              <w:rPr>
                <w:rFonts w:ascii="Times New Roman" w:hAnsi="Times New Roman"/>
                <w:sz w:val="22"/>
              </w:rPr>
              <w:t>+0.21</w:t>
            </w:r>
          </w:p>
        </w:tc>
      </w:tr>
      <w:tr>
        <w:tc>
          <w:tcPr>
            <w:tcW w:type="dxa" w:w="2700"/>
          </w:tcPr>
          <w:p>
            <w:r/>
            <w:r>
              <w:rPr>
                <w:rFonts w:ascii="Times New Roman" w:hAnsi="Times New Roman"/>
                <w:sz w:val="22"/>
              </w:rPr>
              <w:t>Accuracy</w:t>
            </w:r>
          </w:p>
        </w:tc>
        <w:tc>
          <w:tcPr>
            <w:tcW w:type="dxa" w:w="2700"/>
          </w:tcPr>
          <w:p>
            <w:r/>
            <w:r>
              <w:rPr>
                <w:rFonts w:ascii="Times New Roman" w:hAnsi="Times New Roman"/>
                <w:sz w:val="22"/>
              </w:rPr>
              <w:t>89%</w:t>
            </w:r>
          </w:p>
        </w:tc>
        <w:tc>
          <w:tcPr>
            <w:tcW w:type="dxa" w:w="2700"/>
          </w:tcPr>
          <w:p>
            <w:r/>
            <w:r>
              <w:rPr>
                <w:rFonts w:ascii="Times New Roman" w:hAnsi="Times New Roman"/>
                <w:sz w:val="22"/>
              </w:rPr>
              <w:t>79%</w:t>
            </w:r>
          </w:p>
        </w:tc>
        <w:tc>
          <w:tcPr>
            <w:tcW w:type="dxa" w:w="2700"/>
          </w:tcPr>
          <w:p>
            <w:r/>
            <w:r>
              <w:rPr>
                <w:rFonts w:ascii="Times New Roman" w:hAnsi="Times New Roman"/>
                <w:sz w:val="22"/>
              </w:rPr>
              <w:t>-10%</w:t>
            </w:r>
          </w:p>
        </w:tc>
      </w:tr>
    </w:tbl>
    <w:p/>
    <w:p>
      <w:pPr>
        <w:spacing w:after="120"/>
      </w:pPr>
      <w:r>
        <w:rPr>
          <w:rFonts w:ascii="Times New Roman" w:hAnsi="Times New Roman"/>
          <w:sz w:val="24"/>
        </w:rPr>
        <w:t>The trade-off is clear: lowering the threshold increases false positives (more patients flagged who will not actually be readmitted), but dramatically reduces false negatives (fewer missed high-risk patients). In healthcare, this trade-off is worth making because a flagged patient simply gets extra follow-up care, while a missed patient may end up back in the emergency room.</w:t>
      </w:r>
    </w:p>
    <w:p>
      <w:pPr>
        <w:jc w:val="center"/>
      </w:pPr>
      <w:r>
        <w:drawing>
          <wp:inline xmlns:a="http://schemas.openxmlformats.org/drawingml/2006/main" xmlns:pic="http://schemas.openxmlformats.org/drawingml/2006/picture">
            <wp:extent cx="4572000" cy="3178098"/>
            <wp:docPr id="7" name="Picture 7"/>
            <wp:cNvGraphicFramePr>
              <a:graphicFrameLocks noChangeAspect="1"/>
            </wp:cNvGraphicFramePr>
            <a:graphic>
              <a:graphicData uri="http://schemas.openxmlformats.org/drawingml/2006/picture">
                <pic:pic>
                  <pic:nvPicPr>
                    <pic:cNvPr id="0" name="cell49_fig1.png"/>
                    <pic:cNvPicPr/>
                  </pic:nvPicPr>
                  <pic:blipFill>
                    <a:blip r:embed="rId15"/>
                    <a:stretch>
                      <a:fillRect/>
                    </a:stretch>
                  </pic:blipFill>
                  <pic:spPr>
                    <a:xfrm>
                      <a:off x="0" y="0"/>
                      <a:ext cx="4572000" cy="3178098"/>
                    </a:xfrm>
                    <a:prstGeom prst="rect"/>
                  </pic:spPr>
                </pic:pic>
              </a:graphicData>
            </a:graphic>
          </wp:inline>
        </w:drawing>
      </w:r>
    </w:p>
    <w:p>
      <w:pPr>
        <w:spacing w:after="200"/>
        <w:jc w:val="center"/>
      </w:pPr>
      <w:r>
        <w:rPr>
          <w:rFonts w:ascii="Times New Roman" w:hAnsi="Times New Roman"/>
          <w:i/>
          <w:sz w:val="22"/>
        </w:rPr>
        <w:t>Fig 7. Threshold sweep showing precision, recall, and F1-score across thresholds. The vertical dashed line marks the optimal threshold at 0.20.</w:t>
      </w:r>
    </w:p>
    <w:p>
      <w:pPr>
        <w:spacing w:before="240" w:after="120"/>
      </w:pPr>
      <w:r>
        <w:rPr>
          <w:rFonts w:ascii="Times New Roman" w:hAnsi="Times New Roman"/>
          <w:b/>
          <w:sz w:val="24"/>
        </w:rPr>
        <w:t>5.4 Explainability Results</w:t>
      </w:r>
    </w:p>
    <w:p>
      <w:pPr>
        <w:spacing w:after="120"/>
      </w:pPr>
      <w:r>
        <w:rPr>
          <w:rFonts w:ascii="Times New Roman" w:hAnsi="Times New Roman"/>
          <w:sz w:val="24"/>
        </w:rPr>
        <w:t>Permutation Feature Importance was computed on the test set with 10 repeats per feature, scored on ROC-AUC. The top five features are shown in Table 5.</w:t>
      </w:r>
    </w:p>
    <w:p>
      <w:pPr>
        <w:spacing w:after="80"/>
        <w:jc w:val="center"/>
      </w:pPr>
      <w:r>
        <w:rPr>
          <w:rFonts w:ascii="Times New Roman" w:hAnsi="Times New Roman"/>
          <w:i/>
          <w:sz w:val="22"/>
        </w:rPr>
        <w:t>Table 5. Top 5 features by Permutation Feature Importance (ROC-AUC drop).</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Rank</w:t>
            </w:r>
          </w:p>
        </w:tc>
        <w:tc>
          <w:tcPr>
            <w:tcW w:type="dxa" w:w="2700"/>
          </w:tcPr>
          <w:p>
            <w:r/>
            <w:r>
              <w:rPr>
                <w:rFonts w:ascii="Times New Roman" w:hAnsi="Times New Roman"/>
                <w:b/>
                <w:sz w:val="22"/>
              </w:rPr>
              <w:t>Feature</w:t>
            </w:r>
          </w:p>
        </w:tc>
        <w:tc>
          <w:tcPr>
            <w:tcW w:type="dxa" w:w="2700"/>
          </w:tcPr>
          <w:p>
            <w:r/>
            <w:r>
              <w:rPr>
                <w:rFonts w:ascii="Times New Roman" w:hAnsi="Times New Roman"/>
                <w:b/>
                <w:sz w:val="22"/>
              </w:rPr>
              <w:t>ROC-AUC Drop</w:t>
            </w:r>
          </w:p>
        </w:tc>
        <w:tc>
          <w:tcPr>
            <w:tcW w:type="dxa" w:w="2700"/>
          </w:tcPr>
          <w:p>
            <w:r/>
            <w:r>
              <w:rPr>
                <w:rFonts w:ascii="Times New Roman" w:hAnsi="Times New Roman"/>
                <w:b/>
                <w:sz w:val="22"/>
              </w:rPr>
              <w:t>Why It Matters</w:t>
            </w:r>
          </w:p>
        </w:tc>
      </w:tr>
      <w:tr>
        <w:tc>
          <w:tcPr>
            <w:tcW w:type="dxa" w:w="2700"/>
          </w:tcPr>
          <w:p>
            <w:r/>
            <w:r>
              <w:rPr>
                <w:rFonts w:ascii="Times New Roman" w:hAnsi="Times New Roman"/>
                <w:sz w:val="22"/>
              </w:rPr>
              <w:t>1</w:t>
            </w:r>
          </w:p>
        </w:tc>
        <w:tc>
          <w:tcPr>
            <w:tcW w:type="dxa" w:w="2700"/>
          </w:tcPr>
          <w:p>
            <w:r/>
            <w:r>
              <w:rPr>
                <w:rFonts w:ascii="Times New Roman" w:hAnsi="Times New Roman"/>
                <w:sz w:val="22"/>
              </w:rPr>
              <w:t>number_inpatient</w:t>
            </w:r>
          </w:p>
        </w:tc>
        <w:tc>
          <w:tcPr>
            <w:tcW w:type="dxa" w:w="2700"/>
          </w:tcPr>
          <w:p>
            <w:r/>
            <w:r>
              <w:rPr>
                <w:rFonts w:ascii="Times New Roman" w:hAnsi="Times New Roman"/>
                <w:sz w:val="22"/>
              </w:rPr>
              <w:t>5.7%</w:t>
            </w:r>
          </w:p>
        </w:tc>
        <w:tc>
          <w:tcPr>
            <w:tcW w:type="dxa" w:w="2700"/>
          </w:tcPr>
          <w:p>
            <w:r/>
            <w:r>
              <w:rPr>
                <w:rFonts w:ascii="Times New Roman" w:hAnsi="Times New Roman"/>
                <w:sz w:val="22"/>
              </w:rPr>
              <w:t>Prior hospital use is the strongest signal</w:t>
            </w:r>
          </w:p>
        </w:tc>
      </w:tr>
      <w:tr>
        <w:tc>
          <w:tcPr>
            <w:tcW w:type="dxa" w:w="2700"/>
          </w:tcPr>
          <w:p>
            <w:r/>
            <w:r>
              <w:rPr>
                <w:rFonts w:ascii="Times New Roman" w:hAnsi="Times New Roman"/>
                <w:sz w:val="22"/>
              </w:rPr>
              <w:t>2</w:t>
            </w:r>
          </w:p>
        </w:tc>
        <w:tc>
          <w:tcPr>
            <w:tcW w:type="dxa" w:w="2700"/>
          </w:tcPr>
          <w:p>
            <w:r/>
            <w:r>
              <w:rPr>
                <w:rFonts w:ascii="Times New Roman" w:hAnsi="Times New Roman"/>
                <w:sz w:val="22"/>
              </w:rPr>
              <w:t>discharge_disposition_id</w:t>
            </w:r>
          </w:p>
        </w:tc>
        <w:tc>
          <w:tcPr>
            <w:tcW w:type="dxa" w:w="2700"/>
          </w:tcPr>
          <w:p>
            <w:r/>
            <w:r>
              <w:rPr>
                <w:rFonts w:ascii="Times New Roman" w:hAnsi="Times New Roman"/>
                <w:sz w:val="22"/>
              </w:rPr>
              <w:t>4.5%</w:t>
            </w:r>
          </w:p>
        </w:tc>
        <w:tc>
          <w:tcPr>
            <w:tcW w:type="dxa" w:w="2700"/>
          </w:tcPr>
          <w:p>
            <w:r/>
            <w:r>
              <w:rPr>
                <w:rFonts w:ascii="Times New Roman" w:hAnsi="Times New Roman"/>
                <w:sz w:val="22"/>
              </w:rPr>
              <w:t>Where the patient goes after discharge</w:t>
            </w:r>
          </w:p>
        </w:tc>
      </w:tr>
      <w:tr>
        <w:tc>
          <w:tcPr>
            <w:tcW w:type="dxa" w:w="2700"/>
          </w:tcPr>
          <w:p>
            <w:r/>
            <w:r>
              <w:rPr>
                <w:rFonts w:ascii="Times New Roman" w:hAnsi="Times New Roman"/>
                <w:sz w:val="22"/>
              </w:rPr>
              <w:t>3</w:t>
            </w:r>
          </w:p>
        </w:tc>
        <w:tc>
          <w:tcPr>
            <w:tcW w:type="dxa" w:w="2700"/>
          </w:tcPr>
          <w:p>
            <w:r/>
            <w:r>
              <w:rPr>
                <w:rFonts w:ascii="Times New Roman" w:hAnsi="Times New Roman"/>
                <w:sz w:val="22"/>
              </w:rPr>
              <w:t>total_visits</w:t>
            </w:r>
          </w:p>
        </w:tc>
        <w:tc>
          <w:tcPr>
            <w:tcW w:type="dxa" w:w="2700"/>
          </w:tcPr>
          <w:p>
            <w:r/>
            <w:r>
              <w:rPr>
                <w:rFonts w:ascii="Times New Roman" w:hAnsi="Times New Roman"/>
                <w:sz w:val="22"/>
              </w:rPr>
              <w:t>~1%</w:t>
            </w:r>
          </w:p>
        </w:tc>
        <w:tc>
          <w:tcPr>
            <w:tcW w:type="dxa" w:w="2700"/>
          </w:tcPr>
          <w:p>
            <w:r/>
            <w:r>
              <w:rPr>
                <w:rFonts w:ascii="Times New Roman" w:hAnsi="Times New Roman"/>
                <w:sz w:val="22"/>
              </w:rPr>
              <w:t>Combined outpatient + ER + inpatient visits</w:t>
            </w:r>
          </w:p>
        </w:tc>
      </w:tr>
      <w:tr>
        <w:tc>
          <w:tcPr>
            <w:tcW w:type="dxa" w:w="2700"/>
          </w:tcPr>
          <w:p>
            <w:r/>
            <w:r>
              <w:rPr>
                <w:rFonts w:ascii="Times New Roman" w:hAnsi="Times New Roman"/>
                <w:sz w:val="22"/>
              </w:rPr>
              <w:t>4</w:t>
            </w:r>
          </w:p>
        </w:tc>
        <w:tc>
          <w:tcPr>
            <w:tcW w:type="dxa" w:w="2700"/>
          </w:tcPr>
          <w:p>
            <w:r/>
            <w:r>
              <w:rPr>
                <w:rFonts w:ascii="Times New Roman" w:hAnsi="Times New Roman"/>
                <w:sz w:val="22"/>
              </w:rPr>
              <w:t>number_diagnoses</w:t>
            </w:r>
          </w:p>
        </w:tc>
        <w:tc>
          <w:tcPr>
            <w:tcW w:type="dxa" w:w="2700"/>
          </w:tcPr>
          <w:p>
            <w:r/>
            <w:r>
              <w:rPr>
                <w:rFonts w:ascii="Times New Roman" w:hAnsi="Times New Roman"/>
                <w:sz w:val="22"/>
              </w:rPr>
              <w:t>~0.8%</w:t>
            </w:r>
          </w:p>
        </w:tc>
        <w:tc>
          <w:tcPr>
            <w:tcW w:type="dxa" w:w="2700"/>
          </w:tcPr>
          <w:p>
            <w:r/>
            <w:r>
              <w:rPr>
                <w:rFonts w:ascii="Times New Roman" w:hAnsi="Times New Roman"/>
                <w:sz w:val="22"/>
              </w:rPr>
              <w:t>More diagnoses = higher complexity</w:t>
            </w:r>
          </w:p>
        </w:tc>
      </w:tr>
      <w:tr>
        <w:tc>
          <w:tcPr>
            <w:tcW w:type="dxa" w:w="2700"/>
          </w:tcPr>
          <w:p>
            <w:r/>
            <w:r>
              <w:rPr>
                <w:rFonts w:ascii="Times New Roman" w:hAnsi="Times New Roman"/>
                <w:sz w:val="22"/>
              </w:rPr>
              <w:t>5</w:t>
            </w:r>
          </w:p>
        </w:tc>
        <w:tc>
          <w:tcPr>
            <w:tcW w:type="dxa" w:w="2700"/>
          </w:tcPr>
          <w:p>
            <w:r/>
            <w:r>
              <w:rPr>
                <w:rFonts w:ascii="Times New Roman" w:hAnsi="Times New Roman"/>
                <w:sz w:val="22"/>
              </w:rPr>
              <w:t>admission_type_id</w:t>
            </w:r>
          </w:p>
        </w:tc>
        <w:tc>
          <w:tcPr>
            <w:tcW w:type="dxa" w:w="2700"/>
          </w:tcPr>
          <w:p>
            <w:r/>
            <w:r>
              <w:rPr>
                <w:rFonts w:ascii="Times New Roman" w:hAnsi="Times New Roman"/>
                <w:sz w:val="22"/>
              </w:rPr>
              <w:t>~0.5%</w:t>
            </w:r>
          </w:p>
        </w:tc>
        <w:tc>
          <w:tcPr>
            <w:tcW w:type="dxa" w:w="2700"/>
          </w:tcPr>
          <w:p>
            <w:r/>
            <w:r>
              <w:rPr>
                <w:rFonts w:ascii="Times New Roman" w:hAnsi="Times New Roman"/>
                <w:sz w:val="22"/>
              </w:rPr>
              <w:t>Emergency vs. elective admission</w:t>
            </w:r>
          </w:p>
        </w:tc>
      </w:tr>
    </w:tbl>
    <w:p/>
    <w:p>
      <w:pPr>
        <w:jc w:val="center"/>
      </w:pPr>
      <w:r>
        <w:drawing>
          <wp:inline xmlns:a="http://schemas.openxmlformats.org/drawingml/2006/main" xmlns:pic="http://schemas.openxmlformats.org/drawingml/2006/picture">
            <wp:extent cx="5029200" cy="4007005"/>
            <wp:docPr id="8" name="Picture 8"/>
            <wp:cNvGraphicFramePr>
              <a:graphicFrameLocks noChangeAspect="1"/>
            </wp:cNvGraphicFramePr>
            <a:graphic>
              <a:graphicData uri="http://schemas.openxmlformats.org/drawingml/2006/picture">
                <pic:pic>
                  <pic:nvPicPr>
                    <pic:cNvPr id="0" name="cell45_fig1.png"/>
                    <pic:cNvPicPr/>
                  </pic:nvPicPr>
                  <pic:blipFill>
                    <a:blip r:embed="rId16"/>
                    <a:stretch>
                      <a:fillRect/>
                    </a:stretch>
                  </pic:blipFill>
                  <pic:spPr>
                    <a:xfrm>
                      <a:off x="0" y="0"/>
                      <a:ext cx="5029200" cy="4007005"/>
                    </a:xfrm>
                    <a:prstGeom prst="rect"/>
                  </pic:spPr>
                </pic:pic>
              </a:graphicData>
            </a:graphic>
          </wp:inline>
        </w:drawing>
      </w:r>
    </w:p>
    <w:p>
      <w:pPr>
        <w:spacing w:after="200"/>
        <w:jc w:val="center"/>
      </w:pPr>
      <w:r>
        <w:rPr>
          <w:rFonts w:ascii="Times New Roman" w:hAnsi="Times New Roman"/>
          <w:i/>
          <w:sz w:val="22"/>
        </w:rPr>
        <w:t>Fig 8. Permutation Feature Importance for the top 15 features. number_inpatient and discharge_disposition_id dominate.</w:t>
      </w:r>
    </w:p>
    <w:p>
      <w:pPr>
        <w:spacing w:after="120"/>
      </w:pPr>
      <w:r>
        <w:rPr>
          <w:rFonts w:ascii="Times New Roman" w:hAnsi="Times New Roman"/>
          <w:sz w:val="24"/>
        </w:rPr>
        <w:t>Partial Dependence Plots confirmed the PFI results. Fig 9 shows that readmission probability increases sharply as the number of prior inpatient visits goes from 0 to about 3, and then continues to rise more gradually. This is clinically intuitive: patients with a history of frequent hospitalizations are more likely to be readmitted.</w:t>
      </w:r>
    </w:p>
    <w:p>
      <w:pPr>
        <w:jc w:val="center"/>
      </w:pPr>
      <w:r>
        <w:drawing>
          <wp:inline xmlns:a="http://schemas.openxmlformats.org/drawingml/2006/main" xmlns:pic="http://schemas.openxmlformats.org/drawingml/2006/picture">
            <wp:extent cx="5303520" cy="3287915"/>
            <wp:docPr id="9" name="Picture 9"/>
            <wp:cNvGraphicFramePr>
              <a:graphicFrameLocks noChangeAspect="1"/>
            </wp:cNvGraphicFramePr>
            <a:graphic>
              <a:graphicData uri="http://schemas.openxmlformats.org/drawingml/2006/picture">
                <pic:pic>
                  <pic:nvPicPr>
                    <pic:cNvPr id="0" name="cell47_fig1.png"/>
                    <pic:cNvPicPr/>
                  </pic:nvPicPr>
                  <pic:blipFill>
                    <a:blip r:embed="rId17"/>
                    <a:stretch>
                      <a:fillRect/>
                    </a:stretch>
                  </pic:blipFill>
                  <pic:spPr>
                    <a:xfrm>
                      <a:off x="0" y="0"/>
                      <a:ext cx="5303520" cy="3287915"/>
                    </a:xfrm>
                    <a:prstGeom prst="rect"/>
                  </pic:spPr>
                </pic:pic>
              </a:graphicData>
            </a:graphic>
          </wp:inline>
        </w:drawing>
      </w:r>
    </w:p>
    <w:p>
      <w:pPr>
        <w:spacing w:after="200"/>
        <w:jc w:val="center"/>
      </w:pPr>
      <w:r>
        <w:rPr>
          <w:rFonts w:ascii="Times New Roman" w:hAnsi="Times New Roman"/>
          <w:i/>
          <w:sz w:val="22"/>
        </w:rPr>
        <w:t>Fig 9. Partial Dependence Plots for the top features identified by PFI.</w:t>
      </w:r>
    </w:p>
    <w:p>
      <w:pPr>
        <w:spacing w:before="240" w:after="120"/>
      </w:pPr>
      <w:r>
        <w:rPr>
          <w:rFonts w:ascii="Times New Roman" w:hAnsi="Times New Roman"/>
          <w:b/>
          <w:sz w:val="24"/>
        </w:rPr>
        <w:t>5.5 LACE Index vs. XGBoost Comparison</w:t>
      </w:r>
    </w:p>
    <w:p>
      <w:pPr>
        <w:spacing w:after="120"/>
      </w:pPr>
      <w:r>
        <w:rPr>
          <w:rFonts w:ascii="Times New Roman" w:hAnsi="Times New Roman"/>
          <w:sz w:val="24"/>
        </w:rPr>
        <w:t>I computed LACE scores for all 19,868 patients in the test set and compared the results against the XGBoost model at the optimized threshold of 0.20. The Comorbidity component (C) of the LACE score was approximated using CCI-equivalent weights derived from the one-hot encoded diagnosis category columns: Diabetes=1, Neoplasms=2, Respiratory=1, Genitourinary=1. Table 6 shows the results.</w:t>
      </w:r>
    </w:p>
    <w:p>
      <w:pPr>
        <w:spacing w:after="80"/>
        <w:jc w:val="center"/>
      </w:pPr>
      <w:r>
        <w:rPr>
          <w:rFonts w:ascii="Times New Roman" w:hAnsi="Times New Roman"/>
          <w:i/>
          <w:sz w:val="22"/>
        </w:rPr>
        <w:t>Table 6. LACE Index vs. XGBoost on the same test set (n = 19,868).</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Metric</w:t>
            </w:r>
          </w:p>
        </w:tc>
        <w:tc>
          <w:tcPr>
            <w:tcW w:type="dxa" w:w="2700"/>
          </w:tcPr>
          <w:p>
            <w:r/>
            <w:r>
              <w:rPr>
                <w:rFonts w:ascii="Times New Roman" w:hAnsi="Times New Roman"/>
                <w:b/>
                <w:sz w:val="22"/>
              </w:rPr>
              <w:t>LACE Index</w:t>
            </w:r>
          </w:p>
        </w:tc>
        <w:tc>
          <w:tcPr>
            <w:tcW w:type="dxa" w:w="2700"/>
          </w:tcPr>
          <w:p>
            <w:r/>
            <w:r>
              <w:rPr>
                <w:rFonts w:ascii="Times New Roman" w:hAnsi="Times New Roman"/>
                <w:b/>
                <w:sz w:val="22"/>
              </w:rPr>
              <w:t>XGBoost (T=0.20)</w:t>
            </w:r>
          </w:p>
        </w:tc>
        <w:tc>
          <w:tcPr>
            <w:tcW w:type="dxa" w:w="2700"/>
          </w:tcPr>
          <w:p>
            <w:r/>
            <w:r>
              <w:rPr>
                <w:rFonts w:ascii="Times New Roman" w:hAnsi="Times New Roman"/>
                <w:b/>
                <w:sz w:val="22"/>
              </w:rPr>
              <w:t>Improvement</w:t>
            </w:r>
          </w:p>
        </w:tc>
      </w:tr>
      <w:tr>
        <w:tc>
          <w:tcPr>
            <w:tcW w:type="dxa" w:w="2700"/>
          </w:tcPr>
          <w:p>
            <w:r/>
            <w:r>
              <w:rPr>
                <w:rFonts w:ascii="Times New Roman" w:hAnsi="Times New Roman"/>
                <w:sz w:val="22"/>
              </w:rPr>
              <w:t>ROC-AUC</w:t>
            </w:r>
          </w:p>
        </w:tc>
        <w:tc>
          <w:tcPr>
            <w:tcW w:type="dxa" w:w="2700"/>
          </w:tcPr>
          <w:p>
            <w:r/>
            <w:r>
              <w:rPr>
                <w:rFonts w:ascii="Times New Roman" w:hAnsi="Times New Roman"/>
                <w:sz w:val="22"/>
              </w:rPr>
              <w:t>0.5585</w:t>
            </w:r>
          </w:p>
        </w:tc>
        <w:tc>
          <w:tcPr>
            <w:tcW w:type="dxa" w:w="2700"/>
          </w:tcPr>
          <w:p>
            <w:r/>
            <w:r>
              <w:rPr>
                <w:rFonts w:ascii="Times New Roman" w:hAnsi="Times New Roman"/>
                <w:sz w:val="22"/>
              </w:rPr>
              <w:t>0.6648</w:t>
            </w:r>
          </w:p>
        </w:tc>
        <w:tc>
          <w:tcPr>
            <w:tcW w:type="dxa" w:w="2700"/>
          </w:tcPr>
          <w:p>
            <w:r/>
            <w:r>
              <w:rPr>
                <w:rFonts w:ascii="Times New Roman" w:hAnsi="Times New Roman"/>
                <w:sz w:val="22"/>
              </w:rPr>
              <w:t>+19.0%</w:t>
            </w:r>
          </w:p>
        </w:tc>
      </w:tr>
      <w:tr>
        <w:tc>
          <w:tcPr>
            <w:tcW w:type="dxa" w:w="2700"/>
          </w:tcPr>
          <w:p>
            <w:r/>
            <w:r>
              <w:rPr>
                <w:rFonts w:ascii="Times New Roman" w:hAnsi="Times New Roman"/>
                <w:sz w:val="22"/>
              </w:rPr>
              <w:t>Accuracy</w:t>
            </w:r>
          </w:p>
        </w:tc>
        <w:tc>
          <w:tcPr>
            <w:tcW w:type="dxa" w:w="2700"/>
          </w:tcPr>
          <w:p>
            <w:r/>
            <w:r>
              <w:rPr>
                <w:rFonts w:ascii="Times New Roman" w:hAnsi="Times New Roman"/>
                <w:sz w:val="22"/>
              </w:rPr>
              <w:t>87.95%</w:t>
            </w:r>
          </w:p>
        </w:tc>
        <w:tc>
          <w:tcPr>
            <w:tcW w:type="dxa" w:w="2700"/>
          </w:tcPr>
          <w:p>
            <w:r/>
            <w:r>
              <w:rPr>
                <w:rFonts w:ascii="Times New Roman" w:hAnsi="Times New Roman"/>
                <w:sz w:val="22"/>
              </w:rPr>
              <w:t>79.08%</w:t>
            </w:r>
          </w:p>
        </w:tc>
        <w:tc>
          <w:tcPr>
            <w:tcW w:type="dxa" w:w="2700"/>
          </w:tcPr>
          <w:p>
            <w:r/>
            <w:r>
              <w:rPr>
                <w:rFonts w:ascii="Times New Roman" w:hAnsi="Times New Roman"/>
                <w:sz w:val="22"/>
              </w:rPr>
              <w:t>-10.1%</w:t>
            </w:r>
          </w:p>
        </w:tc>
      </w:tr>
      <w:tr>
        <w:tc>
          <w:tcPr>
            <w:tcW w:type="dxa" w:w="2700"/>
          </w:tcPr>
          <w:p>
            <w:r/>
            <w:r>
              <w:rPr>
                <w:rFonts w:ascii="Times New Roman" w:hAnsi="Times New Roman"/>
                <w:sz w:val="22"/>
              </w:rPr>
              <w:t>Precision</w:t>
            </w:r>
          </w:p>
        </w:tc>
        <w:tc>
          <w:tcPr>
            <w:tcW w:type="dxa" w:w="2700"/>
          </w:tcPr>
          <w:p>
            <w:r/>
            <w:r>
              <w:rPr>
                <w:rFonts w:ascii="Times New Roman" w:hAnsi="Times New Roman"/>
                <w:sz w:val="22"/>
              </w:rPr>
              <w:t>20.89%</w:t>
            </w:r>
          </w:p>
        </w:tc>
        <w:tc>
          <w:tcPr>
            <w:tcW w:type="dxa" w:w="2700"/>
          </w:tcPr>
          <w:p>
            <w:r/>
            <w:r>
              <w:rPr>
                <w:rFonts w:ascii="Times New Roman" w:hAnsi="Times New Roman"/>
                <w:sz w:val="22"/>
              </w:rPr>
              <w:t>22.83%</w:t>
            </w:r>
          </w:p>
        </w:tc>
        <w:tc>
          <w:tcPr>
            <w:tcW w:type="dxa" w:w="2700"/>
          </w:tcPr>
          <w:p>
            <w:r/>
            <w:r>
              <w:rPr>
                <w:rFonts w:ascii="Times New Roman" w:hAnsi="Times New Roman"/>
                <w:sz w:val="22"/>
              </w:rPr>
              <w:t>+9.3%</w:t>
            </w:r>
          </w:p>
        </w:tc>
      </w:tr>
      <w:tr>
        <w:tc>
          <w:tcPr>
            <w:tcW w:type="dxa" w:w="2700"/>
          </w:tcPr>
          <w:p>
            <w:r/>
            <w:r>
              <w:rPr>
                <w:rFonts w:ascii="Times New Roman" w:hAnsi="Times New Roman"/>
                <w:sz w:val="22"/>
              </w:rPr>
              <w:t>Recall</w:t>
            </w:r>
          </w:p>
        </w:tc>
        <w:tc>
          <w:tcPr>
            <w:tcW w:type="dxa" w:w="2700"/>
          </w:tcPr>
          <w:p>
            <w:r/>
            <w:r>
              <w:rPr>
                <w:rFonts w:ascii="Times New Roman" w:hAnsi="Times New Roman"/>
                <w:sz w:val="22"/>
              </w:rPr>
              <w:t>2.08%</w:t>
            </w:r>
          </w:p>
        </w:tc>
        <w:tc>
          <w:tcPr>
            <w:tcW w:type="dxa" w:w="2700"/>
          </w:tcPr>
          <w:p>
            <w:r/>
            <w:r>
              <w:rPr>
                <w:rFonts w:ascii="Times New Roman" w:hAnsi="Times New Roman"/>
                <w:sz w:val="22"/>
              </w:rPr>
              <w:t>35.17%</w:t>
            </w:r>
          </w:p>
        </w:tc>
        <w:tc>
          <w:tcPr>
            <w:tcW w:type="dxa" w:w="2700"/>
          </w:tcPr>
          <w:p>
            <w:r/>
            <w:r>
              <w:rPr>
                <w:rFonts w:ascii="Times New Roman" w:hAnsi="Times New Roman"/>
                <w:sz w:val="22"/>
              </w:rPr>
              <w:t>+1,594%</w:t>
            </w:r>
          </w:p>
        </w:tc>
      </w:tr>
      <w:tr>
        <w:tc>
          <w:tcPr>
            <w:tcW w:type="dxa" w:w="2700"/>
          </w:tcPr>
          <w:p>
            <w:r/>
            <w:r>
              <w:rPr>
                <w:rFonts w:ascii="Times New Roman" w:hAnsi="Times New Roman"/>
                <w:sz w:val="22"/>
              </w:rPr>
              <w:t>F1-Score</w:t>
            </w:r>
          </w:p>
        </w:tc>
        <w:tc>
          <w:tcPr>
            <w:tcW w:type="dxa" w:w="2700"/>
          </w:tcPr>
          <w:p>
            <w:r/>
            <w:r>
              <w:rPr>
                <w:rFonts w:ascii="Times New Roman" w:hAnsi="Times New Roman"/>
                <w:sz w:val="22"/>
              </w:rPr>
              <w:t>0.0378</w:t>
            </w:r>
          </w:p>
        </w:tc>
        <w:tc>
          <w:tcPr>
            <w:tcW w:type="dxa" w:w="2700"/>
          </w:tcPr>
          <w:p>
            <w:r/>
            <w:r>
              <w:rPr>
                <w:rFonts w:ascii="Times New Roman" w:hAnsi="Times New Roman"/>
                <w:sz w:val="22"/>
              </w:rPr>
              <w:t>0.2769</w:t>
            </w:r>
          </w:p>
        </w:tc>
        <w:tc>
          <w:tcPr>
            <w:tcW w:type="dxa" w:w="2700"/>
          </w:tcPr>
          <w:p>
            <w:r/>
            <w:r>
              <w:rPr>
                <w:rFonts w:ascii="Times New Roman" w:hAnsi="Times New Roman"/>
                <w:sz w:val="22"/>
              </w:rPr>
              <w:t>+633%</w:t>
            </w:r>
          </w:p>
        </w:tc>
      </w:tr>
    </w:tbl>
    <w:p/>
    <w:p>
      <w:pPr>
        <w:spacing w:after="120"/>
      </w:pPr>
      <w:r>
        <w:rPr>
          <w:rFonts w:ascii="Times New Roman" w:hAnsi="Times New Roman"/>
          <w:sz w:val="24"/>
        </w:rPr>
        <w:t>XGBoost outperformed LACE on every metric that matters for catching readmissions: ROC-AUC, Precision, Recall, and F1-Score. LACE does show higher raw accuracy (87.95% vs. 79.08%), but this is the accuracy paradox at work. With a score distribution ranging from 1 to 12 (mean = 5.0), only 225 patients (1.1%) scored 10 or above, which is the standard LACE threshold for high risk. So LACE gets most predictions "right" by barely flagging anyone.</w:t>
      </w:r>
    </w:p>
    <w:p>
      <w:pPr>
        <w:spacing w:after="120"/>
      </w:pPr>
      <w:r>
        <w:rPr>
          <w:rFonts w:ascii="Times New Roman" w:hAnsi="Times New Roman"/>
          <w:sz w:val="24"/>
        </w:rPr>
        <w:t>That said, LACE has a genuine advantage in simplicity: it requires no model training, works with just four inputs, and can be computed by hand at the bedside. XGBoost needs 46 features, a trained model, and a computer. The two approaches serve different needs, and the comparison quantifies exactly where the ML model adds value.</w:t>
      </w:r>
    </w:p>
    <w:p>
      <w:pPr>
        <w:jc w:val="center"/>
      </w:pPr>
      <w:r>
        <w:drawing>
          <wp:inline xmlns:a="http://schemas.openxmlformats.org/drawingml/2006/main" xmlns:pic="http://schemas.openxmlformats.org/drawingml/2006/picture">
            <wp:extent cx="5303520" cy="1620520"/>
            <wp:docPr id="10" name="Picture 10"/>
            <wp:cNvGraphicFramePr>
              <a:graphicFrameLocks noChangeAspect="1"/>
            </wp:cNvGraphicFramePr>
            <a:graphic>
              <a:graphicData uri="http://schemas.openxmlformats.org/drawingml/2006/picture">
                <pic:pic>
                  <pic:nvPicPr>
                    <pic:cNvPr id="0" name="cell52_fig1.png"/>
                    <pic:cNvPicPr/>
                  </pic:nvPicPr>
                  <pic:blipFill>
                    <a:blip r:embed="rId18"/>
                    <a:stretch>
                      <a:fillRect/>
                    </a:stretch>
                  </pic:blipFill>
                  <pic:spPr>
                    <a:xfrm>
                      <a:off x="0" y="0"/>
                      <a:ext cx="5303520" cy="1620520"/>
                    </a:xfrm>
                    <a:prstGeom prst="rect"/>
                  </pic:spPr>
                </pic:pic>
              </a:graphicData>
            </a:graphic>
          </wp:inline>
        </w:drawing>
      </w:r>
    </w:p>
    <w:p>
      <w:pPr>
        <w:spacing w:after="200"/>
        <w:jc w:val="center"/>
      </w:pPr>
      <w:r>
        <w:rPr>
          <w:rFonts w:ascii="Times New Roman" w:hAnsi="Times New Roman"/>
          <w:i/>
          <w:sz w:val="22"/>
        </w:rPr>
        <w:t>Fig 10. LACE vs. XGBoost: ROC curves (left) and metric comparison bar chart (right).</w:t>
      </w:r>
    </w:p>
    <w:p>
      <w:pPr>
        <w:spacing w:before="240" w:after="120"/>
      </w:pPr>
      <w:r>
        <w:rPr>
          <w:rFonts w:ascii="Times New Roman" w:hAnsi="Times New Roman"/>
          <w:b/>
          <w:sz w:val="24"/>
        </w:rPr>
        <w:t>5.6 Streamlit Dashboard</w:t>
      </w:r>
    </w:p>
    <w:p>
      <w:pPr>
        <w:spacing w:after="120"/>
      </w:pPr>
      <w:r>
        <w:rPr>
          <w:rFonts w:ascii="Times New Roman" w:hAnsi="Times New Roman"/>
          <w:sz w:val="24"/>
        </w:rPr>
        <w:t>The Streamlit dashboard (streamlit_app.py) provides a user-friendly interface for clinical staff to interact with the trained model without writing any code. It has four tabs:</w:t>
      </w:r>
    </w:p>
    <w:p>
      <w:pPr>
        <w:spacing w:after="60"/>
        <w:ind w:left="720"/>
      </w:pPr>
      <w:r>
        <w:rPr>
          <w:rFonts w:ascii="Times New Roman" w:hAnsi="Times New Roman"/>
          <w:sz w:val="24"/>
        </w:rPr>
        <w:t>•  Risk Assessment: Users set patient parameters (age, medications, prior visits, diagnosis, etc.) using sliders and dropdowns, and the dashboard instantly displays the predicted readmission probability, risk level (Low/Medium/High), and a visual risk gauge.</w:t>
      </w:r>
    </w:p>
    <w:p>
      <w:pPr>
        <w:spacing w:after="60"/>
        <w:ind w:left="720"/>
      </w:pPr>
      <w:r>
        <w:rPr>
          <w:rFonts w:ascii="Times New Roman" w:hAnsi="Times New Roman"/>
          <w:sz w:val="24"/>
        </w:rPr>
        <w:t>•  Explainability and What-If: Shows which features are driving the prediction with z-score comparisons to the population average, and allows users to simulate "what-if" scenarios by adjusting individual features.</w:t>
      </w:r>
    </w:p>
    <w:p>
      <w:pPr>
        <w:spacing w:after="60"/>
        <w:ind w:left="720"/>
      </w:pPr>
      <w:r>
        <w:rPr>
          <w:rFonts w:ascii="Times New Roman" w:hAnsi="Times New Roman"/>
          <w:sz w:val="24"/>
        </w:rPr>
        <w:t>•  Clinical Impact: Displays population-level charts including feature importance rankings and distributions of key features across risk levels.</w:t>
      </w:r>
    </w:p>
    <w:p>
      <w:pPr>
        <w:spacing w:after="60"/>
        <w:ind w:left="720"/>
      </w:pPr>
      <w:r>
        <w:rPr>
          <w:rFonts w:ascii="Times New Roman" w:hAnsi="Times New Roman"/>
          <w:sz w:val="24"/>
        </w:rPr>
        <w:t>•  Model Performance: Shows the model comparison table, ROC curves, confusion matrices, and a side-by-side LACE vs. XGBoost breakdown with the scoring components for the current patient.</w:t>
      </w:r>
    </w:p>
    <w:p>
      <w:pPr>
        <w:spacing w:after="120"/>
      </w:pPr>
      <w:r>
        <w:rPr>
          <w:rFonts w:ascii="Times New Roman" w:hAnsi="Times New Roman"/>
          <w:sz w:val="24"/>
        </w:rPr>
        <w:t>The dashboard is deployed on Streamlit Community Cloud and auto-deploys from the GitHub repository on every push, making it easy to keep the deployed version in sync with the code.</w:t>
      </w:r>
    </w:p>
    <w:p>
      <w:pPr>
        <w:spacing w:before="240" w:after="120"/>
      </w:pPr>
      <w:r>
        <w:rPr>
          <w:rFonts w:ascii="Times New Roman" w:hAnsi="Times New Roman"/>
          <w:b/>
          <w:sz w:val="24"/>
        </w:rPr>
        <w:t>5.7 Connection to Recent Research</w:t>
      </w:r>
    </w:p>
    <w:p>
      <w:pPr>
        <w:spacing w:after="120"/>
      </w:pPr>
      <w:r>
        <w:rPr>
          <w:rFonts w:ascii="Times New Roman" w:hAnsi="Times New Roman"/>
          <w:sz w:val="24"/>
        </w:rPr>
        <w:t>The most directly comparable recent study is Guo et al. [2025], titled "Towards an Explainable Machine Learning Model to Reduce Readmission Risks for Diabetes Patients," published in Informatics in Medicine Unlocked. Their study used the same Diabetes 130-US Hospitals dataset and also focused on combining ML prediction with explainability techniques (PFI, PDP, and SHAP).</w:t>
      </w:r>
    </w:p>
    <w:p>
      <w:pPr>
        <w:spacing w:after="120"/>
      </w:pPr>
      <w:r>
        <w:rPr>
          <w:rFonts w:ascii="Times New Roman" w:hAnsi="Times New Roman"/>
          <w:sz w:val="24"/>
        </w:rPr>
        <w:t>Their best model was a Bagging Random Forest, which achieved 89% accuracy and 67% precision. They tested nine classifiers (KNN, LR, Naive Bayes, LDA, QDA, AdaBoost, XGBoost, Decision Tree, and RF-Bagging) and compared three sampling strategies (none, random oversampling, and SMOTE). Their permutation importance results identified number_inpatient and number_emergency as the two most critical features, and their PDP plots showed a monotonically increasing relationship between number_inpatient and readmission probability.</w:t>
      </w:r>
    </w:p>
    <w:p>
      <w:pPr>
        <w:spacing w:after="60"/>
      </w:pPr>
      <w:r>
        <w:rPr>
          <w:rFonts w:ascii="Times New Roman" w:hAnsi="Times New Roman"/>
          <w:sz w:val="24"/>
        </w:rPr>
        <w:t>Similarities between my project and Guo et al. [2025]:</w:t>
      </w:r>
    </w:p>
    <w:p>
      <w:pPr>
        <w:spacing w:after="60"/>
        <w:ind w:left="720"/>
      </w:pPr>
      <w:r>
        <w:rPr>
          <w:rFonts w:ascii="Times New Roman" w:hAnsi="Times New Roman"/>
          <w:sz w:val="24"/>
        </w:rPr>
        <w:t>•  Same dataset (Diabetes 130-US Hospitals, UCI Repository).</w:t>
      </w:r>
    </w:p>
    <w:p>
      <w:pPr>
        <w:spacing w:after="60"/>
        <w:ind w:left="720"/>
      </w:pPr>
      <w:r>
        <w:rPr>
          <w:rFonts w:ascii="Times New Roman" w:hAnsi="Times New Roman"/>
          <w:sz w:val="24"/>
        </w:rPr>
        <w:t>•  Same top-ranked feature: number_inpatient was the most important predictor in both studies.</w:t>
      </w:r>
    </w:p>
    <w:p>
      <w:pPr>
        <w:spacing w:after="60"/>
        <w:ind w:left="720"/>
      </w:pPr>
      <w:r>
        <w:rPr>
          <w:rFonts w:ascii="Times New Roman" w:hAnsi="Times New Roman"/>
          <w:sz w:val="24"/>
        </w:rPr>
        <w:t>•  Both used PFI and PDP for explainability, and both found consistent results between the two techniques.</w:t>
      </w:r>
    </w:p>
    <w:p>
      <w:pPr>
        <w:spacing w:after="60"/>
        <w:ind w:left="720"/>
      </w:pPr>
      <w:r>
        <w:rPr>
          <w:rFonts w:ascii="Times New Roman" w:hAnsi="Times New Roman"/>
          <w:sz w:val="24"/>
        </w:rPr>
        <w:t>•  Both applied SMOTE to handle the class imbalance problem.</w:t>
      </w:r>
    </w:p>
    <w:p>
      <w:pPr>
        <w:spacing w:after="60"/>
        <w:ind w:left="720"/>
      </w:pPr>
      <w:r>
        <w:rPr>
          <w:rFonts w:ascii="Times New Roman" w:hAnsi="Times New Roman"/>
          <w:sz w:val="24"/>
        </w:rPr>
        <w:t>•  Both confirmed that discharge_disposition_id is among the top predictive features.</w:t>
      </w:r>
    </w:p>
    <w:p>
      <w:pPr>
        <w:spacing w:after="60"/>
      </w:pPr>
      <w:r>
        <w:rPr>
          <w:rFonts w:ascii="Times New Roman" w:hAnsi="Times New Roman"/>
          <w:sz w:val="24"/>
        </w:rPr>
        <w:t>Differences and contributions of my project:</w:t>
      </w:r>
    </w:p>
    <w:p>
      <w:pPr>
        <w:spacing w:after="60"/>
        <w:ind w:left="720"/>
      </w:pPr>
      <w:r>
        <w:rPr>
          <w:rFonts w:ascii="Times New Roman" w:hAnsi="Times New Roman"/>
          <w:sz w:val="24"/>
        </w:rPr>
        <w:t>•  Model selection: Guo et al. selected Bagging Random Forest as their best model (89% accuracy, 67% precision), while I selected XGBoost. My model achieved 79% accuracy at the optimized threshold of 0.20, but this was a deliberate trade-off for much higher recall (35% vs. their unreported recall at the default threshold).</w:t>
      </w:r>
    </w:p>
    <w:p>
      <w:pPr>
        <w:spacing w:after="60"/>
        <w:ind w:left="720"/>
      </w:pPr>
      <w:r>
        <w:rPr>
          <w:rFonts w:ascii="Times New Roman" w:hAnsi="Times New Roman"/>
          <w:sz w:val="24"/>
        </w:rPr>
        <w:t>•  Threshold optimization: My project explicitly optimized the classification threshold to maximize F1-score, which is critical for imbalanced datasets. Guo et al. reported accuracy and precision but did not discuss threshold tuning, which suggests they used the default 0.50 threshold.</w:t>
      </w:r>
    </w:p>
    <w:p>
      <w:pPr>
        <w:spacing w:after="60"/>
        <w:ind w:left="720"/>
      </w:pPr>
      <w:r>
        <w:rPr>
          <w:rFonts w:ascii="Times New Roman" w:hAnsi="Times New Roman"/>
          <w:sz w:val="24"/>
        </w:rPr>
        <w:t>•  LACE Index comparison: My project included a head-to-head comparison between the ML model and the LACE Index, a rule-based clinical tool. This comparison is not present in Guo et al. and provides practical context for how the ML approach compares to what hospitals already use.</w:t>
      </w:r>
    </w:p>
    <w:p>
      <w:pPr>
        <w:spacing w:after="60"/>
        <w:ind w:left="720"/>
      </w:pPr>
      <w:r>
        <w:rPr>
          <w:rFonts w:ascii="Times New Roman" w:hAnsi="Times New Roman"/>
          <w:sz w:val="24"/>
        </w:rPr>
        <w:t>•  Interactive dashboard: I deployed the model as a Streamlit web application with real-time prediction, what-if analysis, and LACE scoring. Guo et al. did not include a deployment or interface component.</w:t>
      </w:r>
    </w:p>
    <w:p>
      <w:pPr>
        <w:spacing w:after="60"/>
        <w:ind w:left="720"/>
      </w:pPr>
      <w:r>
        <w:rPr>
          <w:rFonts w:ascii="Times New Roman" w:hAnsi="Times New Roman"/>
          <w:sz w:val="24"/>
        </w:rPr>
        <w:t>•  Scope: Guo et al. tested nine classifiers with multiple feature selection methods, giving a broader survey of techniques. My project used three classifiers but went deeper on threshold optimization, clinical baseline comparison, and deployment.</w:t>
      </w:r>
    </w:p>
    <w:p>
      <w:pPr>
        <w:spacing w:after="120"/>
      </w:pPr>
      <w:r>
        <w:rPr>
          <w:rFonts w:ascii="Times New Roman" w:hAnsi="Times New Roman"/>
          <w:sz w:val="24"/>
        </w:rPr>
        <w:t>Overall, both projects reach the same fundamental conclusion: prior inpatient visits and discharge disposition are the strongest predictors of 30-day readmission for diabetic patients, and explainability techniques like PFI and PDP provide clinically meaningful insights into model behavior. My project adds practical value through threshold tuning, the LACE benchmark, and an interactive deployment.</w:t>
      </w:r>
    </w:p>
    <w:p>
      <w:r>
        <w:br w:type="page"/>
      </w:r>
    </w:p>
    <w:p>
      <w:pPr>
        <w:spacing w:before="240" w:after="120"/>
      </w:pPr>
      <w:r>
        <w:rPr>
          <w:rFonts w:ascii="Times New Roman" w:hAnsi="Times New Roman"/>
          <w:b/>
          <w:sz w:val="28"/>
        </w:rPr>
        <w:t>6. Conclusions</w:t>
      </w:r>
    </w:p>
    <w:p>
      <w:pPr>
        <w:spacing w:after="120"/>
      </w:pPr>
      <w:r>
        <w:rPr>
          <w:rFonts w:ascii="Times New Roman" w:hAnsi="Times New Roman"/>
          <w:sz w:val="24"/>
        </w:rPr>
        <w:t>This project set out to predict 30-day hospital readmission for diabetic patients and make those predictions explainable. Looking back at the goals described in Section 1, here is what was accomplished:</w:t>
      </w:r>
    </w:p>
    <w:p>
      <w:pPr>
        <w:spacing w:after="120"/>
      </w:pPr>
      <w:r>
        <w:rPr>
          <w:rFonts w:ascii="Times New Roman" w:hAnsi="Times New Roman"/>
          <w:sz w:val="24"/>
        </w:rPr>
        <w:t>I built a complete, end-to-end machine learning pipeline using the Diabetes 130-US Hospitals dataset (101,766 encounters). After data cleaning, feature engineering, one-hot encoding, and SMOTE balancing, I trained and tuned three classifiers using GridSearchCV. XGBoost was selected as the best model with a test ROC-AUC of 0.6648. Threshold optimization moved the classification boundary from 0.50 to 0.20, increasing recall from 4% to 35%, which means the model now catches about nine times more actual readmissions than it did at the default threshold.</w:t>
      </w:r>
    </w:p>
    <w:p>
      <w:pPr>
        <w:spacing w:after="120"/>
      </w:pPr>
      <w:r>
        <w:rPr>
          <w:rFonts w:ascii="Times New Roman" w:hAnsi="Times New Roman"/>
          <w:sz w:val="24"/>
        </w:rPr>
        <w:t>The explainability analysis using PFI and PDP identified prior inpatient visits (number_inpatient) and discharge disposition (discharge_disposition_id) as the two most important features. These findings are clinically intuitive: patients who have been hospitalized before are more likely to come back, and where a patient goes after discharge (home, skilled nursing facility, etc.) strongly affects their readmission risk. These results are consistent with the findings of Guo et al. [2025], who independently identified the same top features using the same dataset.</w:t>
      </w:r>
    </w:p>
    <w:p>
      <w:pPr>
        <w:spacing w:after="120"/>
      </w:pPr>
      <w:r>
        <w:rPr>
          <w:rFonts w:ascii="Times New Roman" w:hAnsi="Times New Roman"/>
          <w:sz w:val="24"/>
        </w:rPr>
        <w:t>The LACE Index comparison showed that XGBoost outperformed the rule-based clinical tool on ROC-AUC (0.6648 vs. 0.5585), Recall (35.2% vs. 2.1%), and F1-Score (0.2769 vs. 0.0378). LACE showed higher raw accuracy (87.95% vs. 79.08%), but this is the accuracy paradox: with only 1.1% of patients flagged as high risk, LACE gets most predictions right by barely flagging anyone. The comparison confirms that ML models with richer feature sets provide better discriminative power, while LACE retains value for its simplicity and ease of use.</w:t>
      </w:r>
    </w:p>
    <w:p>
      <w:pPr>
        <w:spacing w:after="120"/>
      </w:pPr>
      <w:r>
        <w:rPr>
          <w:rFonts w:ascii="Times New Roman" w:hAnsi="Times New Roman"/>
          <w:sz w:val="24"/>
        </w:rPr>
        <w:t>Finally, the interactive Streamlit dashboard (ReAdmit-XAI) packages all of this into a tool that a clinician could actually use: real-time risk scores, what-if scenario analysis, feature explanations compared to the population average, and a side-by-side LACE breakdown for every patient.</w:t>
      </w:r>
    </w:p>
    <w:p>
      <w:r>
        <w:br w:type="page"/>
      </w:r>
    </w:p>
    <w:p>
      <w:pPr>
        <w:spacing w:before="240" w:after="120"/>
      </w:pPr>
      <w:r>
        <w:rPr>
          <w:rFonts w:ascii="Times New Roman" w:hAnsi="Times New Roman"/>
          <w:b/>
          <w:sz w:val="28"/>
        </w:rPr>
        <w:t>7. Suggestions for Future Research</w:t>
      </w:r>
    </w:p>
    <w:p>
      <w:pPr>
        <w:spacing w:after="120"/>
      </w:pPr>
      <w:r>
        <w:rPr>
          <w:rFonts w:ascii="Times New Roman" w:hAnsi="Times New Roman"/>
          <w:sz w:val="24"/>
        </w:rPr>
        <w:t>While this project achieved its stated goals, there are several directions for improvement and extension:</w:t>
      </w:r>
    </w:p>
    <w:p>
      <w:pPr>
        <w:spacing w:after="60"/>
      </w:pPr>
      <w:r>
        <w:rPr>
          <w:rFonts w:ascii="Times New Roman" w:hAnsi="Times New Roman"/>
          <w:sz w:val="24"/>
        </w:rPr>
        <w:t>Limitations of the existing approach:</w:t>
      </w:r>
    </w:p>
    <w:p>
      <w:pPr>
        <w:spacing w:after="60"/>
        <w:ind w:left="720"/>
      </w:pPr>
      <w:r>
        <w:rPr>
          <w:rFonts w:ascii="Times New Roman" w:hAnsi="Times New Roman"/>
          <w:sz w:val="24"/>
        </w:rPr>
        <w:t>•  The dataset covers 1999 to 2008. Clinical practices, medications, and coding standards have changed significantly since then. Validating the model on more recent data would be important before any real clinical deployment.</w:t>
      </w:r>
    </w:p>
    <w:p>
      <w:pPr>
        <w:spacing w:after="60"/>
        <w:ind w:left="720"/>
      </w:pPr>
      <w:r>
        <w:rPr>
          <w:rFonts w:ascii="Times New Roman" w:hAnsi="Times New Roman"/>
          <w:sz w:val="24"/>
        </w:rPr>
        <w:t>•  The dataset only includes diabetic patients from U.S. hospitals. Results may not generalize to other patient populations, other countries, or non-diabetic readmissions.</w:t>
      </w:r>
    </w:p>
    <w:p>
      <w:pPr>
        <w:spacing w:after="60"/>
        <w:ind w:left="720"/>
      </w:pPr>
      <w:r>
        <w:rPr>
          <w:rFonts w:ascii="Times New Roman" w:hAnsi="Times New Roman"/>
          <w:sz w:val="24"/>
        </w:rPr>
        <w:t>•  The Charlson Comorbidity Index for the LACE comparison was approximated from the encoded diagnosis columns, not computed from the full ICD-9 code list. A dataset with actual CCI values would allow a more precise LACE comparison.</w:t>
      </w:r>
    </w:p>
    <w:p>
      <w:pPr>
        <w:spacing w:after="60"/>
        <w:ind w:left="720"/>
      </w:pPr>
      <w:r>
        <w:rPr>
          <w:rFonts w:ascii="Times New Roman" w:hAnsi="Times New Roman"/>
          <w:sz w:val="24"/>
        </w:rPr>
        <w:t>•  The ROC-AUC of 0.6648 is moderate. This is consistent with the broader literature on readmission prediction, where Ho et al. [as cited in Guo et al., 2025] reported a median AUC of 0.68 across 43 U.S.-based studies. Readmission is influenced by many factors not captured in structured EHR data, such as social determinants of health, patient compliance, and family support.</w:t>
      </w:r>
    </w:p>
    <w:p>
      <w:pPr>
        <w:spacing w:after="60"/>
      </w:pPr>
      <w:r>
        <w:rPr>
          <w:rFonts w:ascii="Times New Roman" w:hAnsi="Times New Roman"/>
          <w:sz w:val="24"/>
        </w:rPr>
        <w:t>Limitations of the implementation:</w:t>
      </w:r>
    </w:p>
    <w:p>
      <w:pPr>
        <w:spacing w:after="60"/>
        <w:ind w:left="720"/>
      </w:pPr>
      <w:r>
        <w:rPr>
          <w:rFonts w:ascii="Times New Roman" w:hAnsi="Times New Roman"/>
          <w:sz w:val="24"/>
        </w:rPr>
        <w:t>•  The project used PFI and PDP for explainability. Adding SHAP (SHapley Additive exPlanations) would provide instance-level explanations showing how each feature pushes a specific patient's prediction up or down, which Guo et al. [2025] found to be complementary to PFI and PDP.</w:t>
      </w:r>
    </w:p>
    <w:p>
      <w:pPr>
        <w:spacing w:after="60"/>
        <w:ind w:left="720"/>
      </w:pPr>
      <w:r>
        <w:rPr>
          <w:rFonts w:ascii="Times New Roman" w:hAnsi="Times New Roman"/>
          <w:sz w:val="24"/>
        </w:rPr>
        <w:t>•  The dashboard currently requires manual input of patient parameters. Integrating it with a hospital's Electronic Health Record (EHR) system via an API would make it more practical for real-time clinical use.</w:t>
      </w:r>
    </w:p>
    <w:p>
      <w:pPr>
        <w:spacing w:after="60"/>
        <w:ind w:left="720"/>
      </w:pPr>
      <w:r>
        <w:rPr>
          <w:rFonts w:ascii="Times New Roman" w:hAnsi="Times New Roman"/>
          <w:sz w:val="24"/>
        </w:rPr>
        <w:t>•  Only three classifiers were tested. Trying additional models such as LightGBM, CatBoost, or neural network approaches could potentially improve performance.</w:t>
      </w:r>
    </w:p>
    <w:p>
      <w:pPr>
        <w:spacing w:after="60"/>
      </w:pPr>
      <w:r>
        <w:rPr>
          <w:rFonts w:ascii="Times New Roman" w:hAnsi="Times New Roman"/>
          <w:sz w:val="24"/>
        </w:rPr>
        <w:t>Possible extensions:</w:t>
      </w:r>
    </w:p>
    <w:p>
      <w:pPr>
        <w:spacing w:after="60"/>
        <w:ind w:left="720"/>
      </w:pPr>
      <w:r>
        <w:rPr>
          <w:rFonts w:ascii="Times New Roman" w:hAnsi="Times New Roman"/>
          <w:sz w:val="24"/>
        </w:rPr>
        <w:t>•  Temporal modeling: The current approach treats each encounter independently. Using sequential models that account for a patient's history across multiple visits could capture patterns that single-encounter models miss.</w:t>
      </w:r>
    </w:p>
    <w:p>
      <w:pPr>
        <w:spacing w:after="60"/>
        <w:ind w:left="720"/>
      </w:pPr>
      <w:r>
        <w:rPr>
          <w:rFonts w:ascii="Times New Roman" w:hAnsi="Times New Roman"/>
          <w:sz w:val="24"/>
        </w:rPr>
        <w:t>•  External validation: Training on one hospital system and testing on another would give a more realistic estimate of how well the model generalizes.</w:t>
      </w:r>
    </w:p>
    <w:p>
      <w:pPr>
        <w:spacing w:after="60"/>
        <w:ind w:left="720"/>
      </w:pPr>
      <w:r>
        <w:rPr>
          <w:rFonts w:ascii="Times New Roman" w:hAnsi="Times New Roman"/>
          <w:sz w:val="24"/>
        </w:rPr>
        <w:t>•  Subgroup analysis: Breaking down model performance by age group, race, or diagnosis type could reveal fairness issues or subpopulations where the model performs differently.</w:t>
      </w:r>
    </w:p>
    <w:p>
      <w:r>
        <w:br w:type="page"/>
      </w:r>
    </w:p>
    <w:p>
      <w:pPr>
        <w:spacing w:before="240" w:after="120"/>
      </w:pPr>
      <w:r>
        <w:rPr>
          <w:rFonts w:ascii="Times New Roman" w:hAnsi="Times New Roman"/>
          <w:b/>
          <w:sz w:val="28"/>
        </w:rPr>
        <w:t>8. References</w:t>
      </w:r>
    </w:p>
    <w:p>
      <w:pPr>
        <w:spacing w:after="200"/>
      </w:pPr>
      <w:r>
        <w:rPr>
          <w:rFonts w:ascii="Times New Roman" w:hAnsi="Times New Roman"/>
          <w:sz w:val="24"/>
        </w:rPr>
        <w:t>All references listed below were consulted during the project. Each source was read and verified to support the claims made in this report.</w:t>
      </w:r>
    </w:p>
    <w:p>
      <w:pPr>
        <w:spacing w:after="80"/>
        <w:ind w:left="576" w:hanging="576"/>
      </w:pPr>
      <w:r>
        <w:rPr>
          <w:rFonts w:ascii="Times New Roman" w:hAnsi="Times New Roman"/>
          <w:sz w:val="22"/>
        </w:rPr>
        <w:t>[1] Strack, B., DeShazo, J.P., Gennings, C., Olmo, J.L., Ventura, S., Cios, K.J., and Clore, J.N. (2014). Impact of HbA1c Measurement on Hospital Readmission Rates: Analysis of 70,000 Clinical Database Patient Records. BioMed Research International, 2014, Article 781670. Dataset available at: https://archive.ics.uci.edu/ml/datasets/diabetes+130-us+hospitals+for+years+1999-2008</w:t>
      </w:r>
    </w:p>
    <w:p>
      <w:pPr>
        <w:spacing w:after="80"/>
        <w:ind w:left="576" w:hanging="576"/>
      </w:pPr>
      <w:r>
        <w:rPr>
          <w:rFonts w:ascii="Times New Roman" w:hAnsi="Times New Roman"/>
          <w:sz w:val="22"/>
        </w:rPr>
        <w:t>[2] van Walraven, C., Dhalla, I.A., Bell, C., Etchells, E., Stiell, I.G., Zarnke, K., Austin, P.C., and Forster, A.J. (2010). Derivation and Validation of an Index to Predict Early Death or Unplanned Readmission After Discharge from Hospital to the Community. Canadian Medical Association Journal (CMAJ), 182(6), 551-557. https://doi.org/10.1503/cmaj.091117</w:t>
      </w:r>
    </w:p>
    <w:p>
      <w:pPr>
        <w:spacing w:after="80"/>
        <w:ind w:left="576" w:hanging="576"/>
      </w:pPr>
      <w:r>
        <w:rPr>
          <w:rFonts w:ascii="Times New Roman" w:hAnsi="Times New Roman"/>
          <w:sz w:val="22"/>
        </w:rPr>
        <w:t>[3] Chen, T. and Guestrin, C. (2016). XGBoost: A Scalable Tree Boosting System. Proceedings of the 22nd ACM SIGKDD International Conference on Knowledge Discovery and Data Mining, 785-794. https://doi.org/10.1145/2939672.2939785</w:t>
      </w:r>
    </w:p>
    <w:p>
      <w:pPr>
        <w:spacing w:after="80"/>
        <w:ind w:left="576" w:hanging="576"/>
      </w:pPr>
      <w:r>
        <w:rPr>
          <w:rFonts w:ascii="Times New Roman" w:hAnsi="Times New Roman"/>
          <w:sz w:val="22"/>
        </w:rPr>
        <w:t>[4] Chawla, N.V., Bowyer, K.W., Hall, L.O., and Kegelmeyer, W.P. (2002). SMOTE: Synthetic Minority Over-sampling Technique. Journal of Artificial Intelligence Research, 16, 321-357. https://doi.org/10.1613/jair.953</w:t>
      </w:r>
    </w:p>
    <w:p>
      <w:pPr>
        <w:spacing w:after="80"/>
        <w:ind w:left="576" w:hanging="576"/>
      </w:pPr>
      <w:r>
        <w:rPr>
          <w:rFonts w:ascii="Times New Roman" w:hAnsi="Times New Roman"/>
          <w:sz w:val="22"/>
        </w:rPr>
        <w:t>[5] Guo, C., Zhou, H., Pires, I.M., Coelho, P.J., Tong, R., and Farid, F. (2025). Towards an Explainable Machine Learning Model to Reduce Readmission Risks for Diabetes Patients. Informatics in Medicine Unlocked, 58, 101686. https://doi.org/10.1016/j.imu.2025.101686</w:t>
      </w:r>
    </w:p>
    <w:p>
      <w:pPr>
        <w:spacing w:after="80"/>
        <w:ind w:left="576" w:hanging="576"/>
      </w:pPr>
      <w:r>
        <w:rPr>
          <w:rFonts w:ascii="Times New Roman" w:hAnsi="Times New Roman"/>
          <w:sz w:val="22"/>
        </w:rPr>
        <w:t>[6] Soliman, A., Agvall, B., Etminani, K., Hamed, O., and Lingman, M. (2023). The Price of Explainability in Machine Learning Models for 100-Day Readmission Prediction in Heart Failure: Retrospective, Comparative, Machine Learning Study. Journal of Medical Internet Research, 25, e44357. https://doi.org/10.2196/44357</w:t>
      </w:r>
    </w:p>
    <w:p>
      <w:pPr>
        <w:spacing w:after="80"/>
        <w:ind w:left="576" w:hanging="576"/>
      </w:pPr>
      <w:r>
        <w:rPr>
          <w:rFonts w:ascii="Times New Roman" w:hAnsi="Times New Roman"/>
          <w:sz w:val="22"/>
        </w:rPr>
        <w:t>[7] Alnazari, N., Alanazi, O.I., Alosaimi, M.O., et al. (2025). Development of Explainable Artificial Intelligence Based Machine Learning Model for Predicting 30-Day Hospital Readmission after Renal Transplantation. BMC Nephrology, 26, 128. https://doi.org/10.1186/s12882-025-04128-w</w:t>
      </w:r>
    </w:p>
    <w:p>
      <w:pPr>
        <w:spacing w:after="80"/>
        <w:ind w:left="576" w:hanging="576"/>
      </w:pPr>
      <w:r>
        <w:rPr>
          <w:rFonts w:ascii="Times New Roman" w:hAnsi="Times New Roman"/>
          <w:sz w:val="22"/>
        </w:rPr>
        <w:t>[8] Gao, X., Alam, S., Shi, P., Dexter, F., and Kong, N. (2023). Interpretable Machine Learning Models for Hospital Readmission Prediction: A Two-Step Extracted Regression Tree Approach. BMC Medical Informatics and Decision Making, 23, 104. https://doi.org/10.1186/s12911-023-02193-5</w:t>
      </w:r>
    </w:p>
    <w:p>
      <w:pPr>
        <w:spacing w:after="80"/>
        <w:ind w:left="576" w:hanging="576"/>
      </w:pPr>
      <w:r>
        <w:rPr>
          <w:rFonts w:ascii="Times New Roman" w:hAnsi="Times New Roman"/>
          <w:sz w:val="22"/>
        </w:rPr>
        <w:t>[9] Huang, Y., Talwar, A., Chatterjee, S., and Aparasu, R.R. (2022). Application of Machine Learning in Predicting Hospital Readmissions: A Scoping Review of the Literature. BMC Medical Research Methodology, 22, 96. https://doi.org/10.1186/s12874-022-01558-0</w:t>
      </w:r>
    </w:p>
    <w:p>
      <w:pPr>
        <w:spacing w:after="80"/>
        <w:ind w:left="576" w:hanging="576"/>
      </w:pPr>
      <w:r>
        <w:rPr>
          <w:rFonts w:ascii="Times New Roman" w:hAnsi="Times New Roman"/>
          <w:sz w:val="22"/>
        </w:rPr>
        <w:t>[10] Molnar, C. (2022). Interpretable Machine Learning: A Guide for Making Black Box Models Explainable (2nd ed.). Available at: https://christophm.github.io/interpretable-ml-book/</w:t>
      </w:r>
    </w:p>
    <w:p>
      <w:pPr>
        <w:spacing w:after="80"/>
        <w:ind w:left="576" w:hanging="576"/>
      </w:pPr>
      <w:r>
        <w:rPr>
          <w:rFonts w:ascii="Times New Roman" w:hAnsi="Times New Roman"/>
          <w:sz w:val="22"/>
        </w:rPr>
        <w:t>[11] Pedregosa, F., Varoquaux, G., Gramfort, A., et al. (2011). Scikit-learn: Machine Learning in Python. Journal of Machine Learning Research, 12, 2825-2830. Available at: https://scikit-learn.org/stable/</w:t>
      </w:r>
    </w:p>
    <w:p>
      <w:pPr>
        <w:spacing w:after="80"/>
        <w:ind w:left="576" w:hanging="576"/>
      </w:pPr>
      <w:r>
        <w:rPr>
          <w:rFonts w:ascii="Times New Roman" w:hAnsi="Times New Roman"/>
          <w:sz w:val="22"/>
        </w:rPr>
        <w:t>[12] XGBoost Documentation. Available at: https://xgboost.readthedocs.io/en/stable/</w:t>
      </w:r>
    </w:p>
    <w:p>
      <w:pPr>
        <w:spacing w:after="80"/>
        <w:ind w:left="576" w:hanging="576"/>
      </w:pPr>
      <w:r>
        <w:rPr>
          <w:rFonts w:ascii="Times New Roman" w:hAnsi="Times New Roman"/>
          <w:sz w:val="22"/>
        </w:rPr>
        <w:t>[13] Streamlit Documentation. Available at: https://docs.streamlit.io/</w:t>
      </w:r>
    </w:p>
    <w:p>
      <w:pPr>
        <w:spacing w:after="80"/>
        <w:ind w:left="576" w:hanging="576"/>
      </w:pPr>
      <w:r>
        <w:rPr>
          <w:rFonts w:ascii="Times New Roman" w:hAnsi="Times New Roman"/>
          <w:sz w:val="22"/>
        </w:rPr>
        <w:t>[14] Matplotlib Documentation. Available at: https://matplotlib.org/stable/contents.html</w:t>
      </w:r>
    </w:p>
    <w:p>
      <w:pPr>
        <w:spacing w:after="80"/>
        <w:ind w:left="576" w:hanging="576"/>
      </w:pPr>
      <w:r>
        <w:rPr>
          <w:rFonts w:ascii="Times New Roman" w:hAnsi="Times New Roman"/>
          <w:sz w:val="22"/>
        </w:rPr>
        <w:t>[15] Seaborn Documentation. Available at: https://seaborn.pydata.org/</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