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is a clear example of a case where the ML model catches a risk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along with a breakdown of which features are driving the prediction and a clinical action plan; (2) Explainability and What-If Analysis, showing global feature importance and letting users simulate changes to patient parameters to see how the risk score responds; (3) Clinical Impact, which explains the threshold optimization, compares LACE vs. XGBoost side by side for the current patient, and estimates potential cost savings from catching high-risk patients; and (4) Model Performance, which displays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