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sz w:val="24"/>
        </w:rPr>
        <w:t xml:space="preserve">    1.5 Outline of the Report</w:t>
      </w:r>
    </w:p>
    <w:p>
      <w:pPr>
        <w:spacing w:after="40"/>
      </w:pPr>
      <w:r>
        <w:rPr>
          <w:rFonts w:ascii="Times New Roman" w:hAnsi="Times New Roman"/>
          <w:b/>
          <w:sz w:val="24"/>
        </w:rPr>
        <w:t>2. Background</w:t>
      </w:r>
    </w:p>
    <w:p>
      <w:pPr>
        <w:spacing w:after="40"/>
      </w:pPr>
      <w:r>
        <w:rPr>
          <w:rFonts w:ascii="Times New Roman" w:hAnsi="Times New Roman"/>
          <w:sz w:val="24"/>
        </w:rPr>
        <w:t xml:space="preserve">    2.1 Previous Related Projects</w:t>
      </w:r>
    </w:p>
    <w:p>
      <w:pPr>
        <w:spacing w:after="40"/>
      </w:pPr>
      <w:r>
        <w:rPr>
          <w:rFonts w:ascii="Times New Roman" w:hAnsi="Times New Roman"/>
          <w:sz w:val="24"/>
        </w:rPr>
        <w:t xml:space="preserve">    2.2 Existing Techniques Relevant to the Project</w:t>
      </w:r>
    </w:p>
    <w:p>
      <w:pPr>
        <w:spacing w:after="40"/>
      </w:pPr>
      <w:r>
        <w:rPr>
          <w:rFonts w:ascii="Times New Roman" w:hAnsi="Times New Roman"/>
          <w:sz w:val="24"/>
        </w:rPr>
        <w:t xml:space="preserve">    2.3 Analysis of Strengths and Weaknesses</w:t>
      </w:r>
    </w:p>
    <w:p>
      <w:pPr>
        <w:spacing w:after="40"/>
      </w:pPr>
      <w:r>
        <w:rPr>
          <w:rFonts w:ascii="Times New Roman" w:hAnsi="Times New Roman"/>
          <w:sz w:val="24"/>
        </w:rPr>
        <w:t xml:space="preserve">    2.4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identify patients at high risk of returning within 30 days, it can allocate resources for targeted follow-up care, such as post-discharge phone calls, medication reviews, or outpatient appointments. Missing a high-risk patient is far more costly than a false alarm: a flagged patient simply gets extra follow-up, while a missed one may end up back in the emergency room.</w:t>
      </w:r>
    </w:p>
    <w:p>
      <w:pPr>
        <w:spacing w:after="120"/>
      </w:pPr>
      <w:r>
        <w:rPr>
          <w:rFonts w:ascii="Times New Roman" w:hAnsi="Times New Roman"/>
          <w:sz w:val="24"/>
        </w:rPr>
        <w:t>The explainability component is equally important. Clinicians are unlikely to trust a model that just outputs a number without explaining why. By showing which features drove each prediction and how they compare to the population average, the system provides transparency that supports informed decision-making rather than blind reliance on a black box.</w:t>
      </w:r>
    </w:p>
    <w:p>
      <w:pPr>
        <w:spacing w:before="240" w:after="120"/>
      </w:pPr>
      <w:r>
        <w:rPr>
          <w:rFonts w:ascii="Times New Roman" w:hAnsi="Times New Roman"/>
          <w:b/>
          <w:sz w:val="24"/>
        </w:rPr>
        <w:t>1.5 Outline of the Report</w:t>
      </w:r>
    </w:p>
    <w:p>
      <w:pPr>
        <w:spacing w:after="120"/>
      </w:pPr>
      <w:r>
        <w:rPr>
          <w:rFonts w:ascii="Times New Roman" w:hAnsi="Times New Roman"/>
          <w:sz w:val="24"/>
        </w:rPr>
        <w:t>The remainder of this report is organized as follows. Section 2 covers background information, including previous related projects, a review of relevant techniques, and an analysis of their strengths and weaknesses. Section 3 describes the approach taken, including the data source, methodology, a worked example, and the software produced. Section 4 covers the implementation details, including the software stack, module structure, and three crucial code snippets. Section 5 presents the results of running the software, including model evaluation, threshold optimization, explainability analysis, the LACE comparison, and a connection to recent research. Section 6 provides conclusions, and Section 7 discusses suggestions for future research. Section 8 lists all references cited in this report.</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Previous Related Projects</w:t>
      </w:r>
    </w:p>
    <w:p>
      <w:pPr>
        <w:spacing w:after="120"/>
      </w:pPr>
      <w:r>
        <w:rPr>
          <w:rFonts w:ascii="Times New Roman" w:hAnsi="Times New Roman"/>
          <w:sz w:val="24"/>
        </w:rPr>
        <w:t>In a previous graduate course (CS 715), I completed a project on "Enhanced Face Generation and Image Quality Improvement Using Deep Convolutional Generative Adversarial Networks (DCGANs)." That project involved building and training a DCGAN architecture on a face image dataset, evaluating the quality of generated images using metrics such as Inception Score and FID, and analyzing the training dynamics of the generator and discriminator networks.</w:t>
      </w:r>
    </w:p>
    <w:p>
      <w:pPr>
        <w:spacing w:after="120"/>
      </w:pPr>
      <w:r>
        <w:rPr>
          <w:rFonts w:ascii="Times New Roman" w:hAnsi="Times New Roman"/>
          <w:sz w:val="24"/>
        </w:rPr>
        <w:t>While the domain was different (computer vision vs. healthcare analytics), several skills transferred directly to the current project: data preprocessing and cleaning, model training and hyperparameter tuning, evaluation metric selection, and the use of Python libraries such as NumPy, Pandas, and Matplotlib. The CS 715 project also reinforced the importance of clearly presenting results through visualizations and structured analysis, which I applied extensively in this project.</w:t>
      </w:r>
    </w:p>
    <w:p>
      <w:pPr>
        <w:spacing w:after="120"/>
      </w:pPr>
      <w:r>
        <w:rPr>
          <w:rFonts w:ascii="Times New Roman" w:hAnsi="Times New Roman"/>
          <w:sz w:val="24"/>
        </w:rPr>
        <w:t>This project extended my prior experience by explicitly focusing on interpretable machine learning, which is critical in healthcare applications where trust and transparency are essential. Unlike image generation where visual inspection suffices, clinical predictions require explanations that a doctor can understand and act on.</w:t>
      </w:r>
    </w:p>
    <w:p>
      <w:pPr>
        <w:spacing w:before="240" w:after="120"/>
      </w:pPr>
      <w:r>
        <w:rPr>
          <w:rFonts w:ascii="Times New Roman" w:hAnsi="Times New Roman"/>
          <w:b/>
          <w:sz w:val="24"/>
        </w:rPr>
        <w:t>2.2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[Pedregosa et al., 2011].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2.3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non-technical users.</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Patient encounters are treated independently, even though some patients appear multiple times.</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2.4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 I named the resulting software system "ReAdmit-XAI" (Readmission prediction with Explainable AI). The stages were as follows: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ReAdmit-XAI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2. ReAdmit-XAI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is called ReAdmit-XAI. It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ReAdmit-XAI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ReAdmit-XAI.</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3.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4.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5.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6.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7.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8.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9.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10.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(ReAdmit-XAI)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