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before="2" w:lineRule="auto"/>
        <w:ind w:firstLine="116"/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02">
      <w:pPr>
        <w:spacing w:before="196" w:line="360" w:lineRule="auto"/>
        <w:ind w:left="116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</w:t>
      </w:r>
      <w:r w:rsidDel="00000000" w:rsidR="00000000" w:rsidRPr="00000000">
        <w:rPr>
          <w:b w:val="1"/>
          <w:sz w:val="28"/>
          <w:szCs w:val="28"/>
          <w:rtl w:val="0"/>
        </w:rPr>
        <w:t xml:space="preserve">tenant </w:t>
      </w:r>
      <w:r w:rsidDel="00000000" w:rsidR="00000000" w:rsidRPr="00000000">
        <w:rPr>
          <w:sz w:val="28"/>
          <w:szCs w:val="28"/>
          <w:rtl w:val="0"/>
        </w:rPr>
        <w:t xml:space="preserve">in the Power Platform refers to an </w:t>
      </w:r>
      <w:r w:rsidDel="00000000" w:rsidR="00000000" w:rsidRPr="00000000">
        <w:rPr>
          <w:b w:val="1"/>
          <w:sz w:val="28"/>
          <w:szCs w:val="28"/>
          <w:rtl w:val="0"/>
        </w:rPr>
        <w:t xml:space="preserve">organization </w:t>
      </w:r>
      <w:r w:rsidDel="00000000" w:rsidR="00000000" w:rsidRPr="00000000">
        <w:rPr>
          <w:sz w:val="28"/>
          <w:szCs w:val="28"/>
          <w:rtl w:val="0"/>
        </w:rPr>
        <w:t xml:space="preserve">or </w:t>
      </w:r>
      <w:r w:rsidDel="00000000" w:rsidR="00000000" w:rsidRPr="00000000">
        <w:rPr>
          <w:b w:val="1"/>
          <w:sz w:val="28"/>
          <w:szCs w:val="28"/>
          <w:rtl w:val="0"/>
        </w:rPr>
        <w:t xml:space="preserve">entity </w:t>
      </w:r>
      <w:r w:rsidDel="00000000" w:rsidR="00000000" w:rsidRPr="00000000">
        <w:rPr>
          <w:sz w:val="28"/>
          <w:szCs w:val="28"/>
          <w:rtl w:val="0"/>
        </w:rPr>
        <w:t xml:space="preserve">that uses the platform’s services.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116"/>
        <w:rPr/>
      </w:pPr>
      <w:r w:rsidDel="00000000" w:rsidR="00000000" w:rsidRPr="00000000">
        <w:rPr>
          <w:rtl w:val="0"/>
        </w:rPr>
        <w:t xml:space="preserve">Environment Basics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357" w:lineRule="auto"/>
        <w:ind w:left="116" w:right="224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 context of Dataverse is like a container or workspace where you organize and store your business data.</w:t>
      </w:r>
    </w:p>
    <w:p w:rsidR="00000000" w:rsidDel="00000000" w:rsidP="00000000" w:rsidRDefault="00000000" w:rsidRPr="00000000" w14:paraId="00000007">
      <w:pPr>
        <w:spacing w:before="167" w:line="360" w:lineRule="auto"/>
        <w:ind w:left="116" w:right="222" w:firstLine="0"/>
        <w:jc w:val="both"/>
        <w:rPr>
          <w:sz w:val="28"/>
          <w:szCs w:val="28"/>
        </w:rPr>
      </w:pPr>
      <w:r w:rsidDel="00000000" w:rsidR="00000000" w:rsidRPr="00000000">
        <w:rPr>
          <w:color w:val="161616"/>
          <w:sz w:val="28"/>
          <w:szCs w:val="28"/>
          <w:rtl w:val="0"/>
        </w:rPr>
        <w:t xml:space="preserve">An </w:t>
      </w:r>
      <w:r w:rsidDel="00000000" w:rsidR="00000000" w:rsidRPr="00000000">
        <w:rPr>
          <w:b w:val="1"/>
          <w:color w:val="161616"/>
          <w:sz w:val="28"/>
          <w:szCs w:val="28"/>
          <w:rtl w:val="0"/>
        </w:rPr>
        <w:t xml:space="preserve">environment </w:t>
      </w:r>
      <w:r w:rsidDel="00000000" w:rsidR="00000000" w:rsidRPr="00000000">
        <w:rPr>
          <w:color w:val="161616"/>
          <w:sz w:val="28"/>
          <w:szCs w:val="28"/>
          <w:rtl w:val="0"/>
        </w:rPr>
        <w:t xml:space="preserve">also allows you to install applications that you build with </w:t>
      </w:r>
      <w:r w:rsidDel="00000000" w:rsidR="00000000" w:rsidRPr="00000000">
        <w:rPr>
          <w:b w:val="1"/>
          <w:color w:val="161616"/>
          <w:sz w:val="28"/>
          <w:szCs w:val="28"/>
          <w:rtl w:val="0"/>
        </w:rPr>
        <w:t xml:space="preserve">Power Apps </w:t>
      </w:r>
      <w:r w:rsidDel="00000000" w:rsidR="00000000" w:rsidRPr="00000000">
        <w:rPr>
          <w:color w:val="161616"/>
          <w:sz w:val="28"/>
          <w:szCs w:val="28"/>
          <w:rtl w:val="0"/>
        </w:rPr>
        <w:t xml:space="preserve">or </w:t>
      </w:r>
      <w:r w:rsidDel="00000000" w:rsidR="00000000" w:rsidRPr="00000000">
        <w:rPr>
          <w:b w:val="1"/>
          <w:color w:val="161616"/>
          <w:sz w:val="28"/>
          <w:szCs w:val="28"/>
          <w:rtl w:val="0"/>
        </w:rPr>
        <w:t xml:space="preserve">flows </w:t>
      </w:r>
      <w:r w:rsidDel="00000000" w:rsidR="00000000" w:rsidRPr="00000000">
        <w:rPr>
          <w:color w:val="161616"/>
          <w:sz w:val="28"/>
          <w:szCs w:val="28"/>
          <w:rtl w:val="0"/>
        </w:rPr>
        <w:t xml:space="preserve">that you create with </w:t>
      </w:r>
      <w:r w:rsidDel="00000000" w:rsidR="00000000" w:rsidRPr="00000000">
        <w:rPr>
          <w:b w:val="1"/>
          <w:color w:val="161616"/>
          <w:sz w:val="28"/>
          <w:szCs w:val="28"/>
          <w:rtl w:val="0"/>
        </w:rPr>
        <w:t xml:space="preserve">Power Automate </w:t>
      </w:r>
      <w:r w:rsidDel="00000000" w:rsidR="00000000" w:rsidRPr="00000000">
        <w:rPr>
          <w:color w:val="161616"/>
          <w:sz w:val="28"/>
          <w:szCs w:val="28"/>
          <w:rtl w:val="0"/>
        </w:rPr>
        <w:t xml:space="preserve">into that environment. You can create one or many environments, depending on your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60" w:lineRule="auto"/>
        <w:ind w:left="116" w:right="224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8"/>
          <w:szCs w:val="28"/>
          <w:u w:val="none"/>
          <w:shd w:fill="auto" w:val="clear"/>
          <w:vertAlign w:val="baseline"/>
          <w:rtl w:val="0"/>
        </w:rPr>
        <w:t xml:space="preserve">Each environment is created under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61616"/>
          <w:sz w:val="28"/>
          <w:szCs w:val="28"/>
          <w:u w:val="none"/>
          <w:shd w:fill="auto" w:val="clear"/>
          <w:vertAlign w:val="baseline"/>
          <w:rtl w:val="0"/>
        </w:rPr>
        <w:t xml:space="preserve">Microsoft Entra ID tenant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8"/>
          <w:szCs w:val="28"/>
          <w:u w:val="none"/>
          <w:shd w:fill="auto" w:val="clear"/>
          <w:vertAlign w:val="baseline"/>
          <w:rtl w:val="0"/>
        </w:rPr>
        <w:t xml:space="preserve">, and only users within that tenant can access its resources. An environment is also bound to a geographic location, like the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2"/>
        </w:numPr>
        <w:tabs>
          <w:tab w:val="left" w:leader="none" w:pos="431"/>
        </w:tabs>
        <w:spacing w:after="0" w:before="0" w:line="240" w:lineRule="auto"/>
        <w:ind w:left="431" w:right="0" w:hanging="315"/>
        <w:jc w:val="left"/>
        <w:rPr/>
      </w:pPr>
      <w:r w:rsidDel="00000000" w:rsidR="00000000" w:rsidRPr="00000000">
        <w:rPr>
          <w:rtl w:val="0"/>
        </w:rPr>
        <w:t xml:space="preserve">Resource Access: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"/>
        </w:tabs>
        <w:spacing w:after="0" w:before="199" w:line="352" w:lineRule="auto"/>
        <w:ind w:left="836" w:right="179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 (such as Dataverse databases, connections, flows, etc.) created within an environment are accessible only within that environment.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6"/>
        </w:tabs>
        <w:spacing w:after="0" w:before="19" w:line="352" w:lineRule="auto"/>
        <w:ind w:left="836" w:right="386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1420" w:left="1040" w:right="74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However, resources from one environment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cannot directly access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resources in another environment within the same tenant.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tabs>
          <w:tab w:val="left" w:leader="none" w:pos="715"/>
        </w:tabs>
        <w:spacing w:after="0" w:before="21" w:line="240" w:lineRule="auto"/>
        <w:ind w:left="715" w:right="0" w:hanging="315"/>
        <w:jc w:val="left"/>
        <w:rPr/>
      </w:pPr>
      <w:r w:rsidDel="00000000" w:rsidR="00000000" w:rsidRPr="00000000">
        <w:rPr>
          <w:rtl w:val="0"/>
        </w:rPr>
        <w:t xml:space="preserve">Sharing Data Across Different Environments/Region: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" w:line="360" w:lineRule="auto"/>
        <w:ind w:left="400" w:right="44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Integration Tools: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tools like Azure Data Factory or Power Automate to create data pipelines that can move data between environments in different geographic locations.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0" w:lineRule="auto"/>
        <w:ind w:left="400" w:right="2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APIs and Connectors: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Utilize APIs and connectors available in Power Platform to facilitate data sharing. For example, you can create flows in Power Automate that connect to Dataverse databases in both environments.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400" w:right="2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Cross-Region Replication: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If your data needs to be highly available and synchronized in real-time, consider setting up cross-region replication. This can be done using Azure SQL Database or Cosmos DB, which support geo-replication.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1"/>
        </w:numPr>
        <w:tabs>
          <w:tab w:val="left" w:leader="none" w:pos="676"/>
        </w:tabs>
        <w:spacing w:after="0" w:before="0" w:line="240" w:lineRule="auto"/>
        <w:ind w:left="676" w:right="0" w:hanging="276"/>
        <w:jc w:val="left"/>
        <w:rPr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360" w:lineRule="auto"/>
        <w:ind w:left="400" w:right="385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Flows are used for data preparation and transformation. They allow you to ingest, cleanse, transform, and load data into Dataverse, Power BI, or Azure Data Lake Storage.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400" w:right="2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Flows are created using Power Query, which provides a graphical interface for building transformation logic. They run in the cloud and can be scheduled to refresh automatically.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tabs>
          <w:tab w:val="left" w:leader="none" w:pos="715"/>
        </w:tabs>
        <w:spacing w:after="0" w:before="0" w:line="240" w:lineRule="auto"/>
        <w:ind w:left="715" w:right="0" w:hanging="315"/>
        <w:jc w:val="left"/>
        <w:rPr/>
      </w:pPr>
      <w:r w:rsidDel="00000000" w:rsidR="00000000" w:rsidRPr="00000000">
        <w:rPr>
          <w:rtl w:val="0"/>
        </w:rPr>
        <w:t xml:space="preserve">Flows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" w:line="36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040" w:right="74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Flows, created in Power Automate, are used to automate workflows and business processes. They help in connecting different services and automating repetitive tasks.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36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Flows are triggered by events, such as receiving an email, a new file being added to a folder, or a specific time of day.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Usage: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Commonly used for automating tasks like sending notifications, updating records, or collecting data from various sources.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Inside Security Roles:</w:t>
      </w:r>
    </w:p>
    <w:p w:rsidR="00000000" w:rsidDel="00000000" w:rsidP="00000000" w:rsidRDefault="00000000" w:rsidRPr="00000000" w14:paraId="00000021">
      <w:pPr>
        <w:pStyle w:val="Heading3"/>
        <w:numPr>
          <w:ilvl w:val="1"/>
          <w:numId w:val="1"/>
        </w:numPr>
        <w:tabs>
          <w:tab w:val="left" w:leader="none" w:pos="676"/>
        </w:tabs>
        <w:spacing w:after="0" w:before="355" w:line="240" w:lineRule="auto"/>
        <w:ind w:left="676" w:right="0" w:hanging="276"/>
        <w:jc w:val="left"/>
        <w:rPr/>
      </w:pPr>
      <w:r w:rsidDel="00000000" w:rsidR="00000000" w:rsidRPr="00000000">
        <w:rPr>
          <w:rtl w:val="0"/>
        </w:rPr>
        <w:t xml:space="preserve">Table Privileges: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335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define what tasks a user can perform on specific records within a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69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Examples include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Read, Create, Delete, Write, Assign, Share, Append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before="171" w:lineRule="auto"/>
        <w:ind w:left="1120" w:firstLine="0"/>
        <w:rPr>
          <w:b w:val="0"/>
        </w:rPr>
      </w:pPr>
      <w:r w:rsidDel="00000000" w:rsidR="00000000" w:rsidRPr="00000000">
        <w:rPr>
          <w:rtl w:val="0"/>
        </w:rPr>
        <w:t xml:space="preserve">Append To</w:t>
      </w:r>
      <w:r w:rsidDel="00000000" w:rsidR="00000000" w:rsidRPr="00000000">
        <w:rPr>
          <w:b w:val="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0"/>
        </w:tabs>
        <w:spacing w:after="0" w:before="172" w:line="352" w:lineRule="auto"/>
        <w:ind w:left="1120" w:right="379" w:hanging="360"/>
        <w:jc w:val="left"/>
        <w:rPr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instance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 salesperson might have Read access to customer records but can also Create new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"/>
        </w:numPr>
        <w:tabs>
          <w:tab w:val="left" w:leader="none" w:pos="676"/>
        </w:tabs>
        <w:spacing w:after="0" w:before="177" w:line="240" w:lineRule="auto"/>
        <w:ind w:left="676" w:right="0" w:hanging="276"/>
        <w:jc w:val="left"/>
        <w:rPr/>
      </w:pPr>
      <w:r w:rsidDel="00000000" w:rsidR="00000000" w:rsidRPr="00000000">
        <w:rPr>
          <w:rtl w:val="0"/>
        </w:rPr>
        <w:t xml:space="preserve">Miscellaneous Privileges: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" w:line="24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task-based privileges allow users to perform specific non-record tasks.</w:t>
      </w:r>
    </w:p>
    <w:p w:rsidR="00000000" w:rsidDel="00000000" w:rsidP="00000000" w:rsidRDefault="00000000" w:rsidRPr="00000000" w14:paraId="00000028">
      <w:pPr>
        <w:pStyle w:val="Heading3"/>
        <w:spacing w:before="332" w:line="360" w:lineRule="auto"/>
        <w:ind w:left="40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Examples include </w:t>
      </w:r>
      <w:r w:rsidDel="00000000" w:rsidR="00000000" w:rsidRPr="00000000">
        <w:rPr>
          <w:rtl w:val="0"/>
        </w:rPr>
        <w:t xml:space="preserve">publishing articles</w:t>
      </w:r>
      <w:r w:rsidDel="00000000" w:rsidR="00000000" w:rsidRPr="00000000">
        <w:rPr>
          <w:b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activating business rules/process flow, bulk delete, bulk edit, enable or disable user</w:t>
      </w:r>
      <w:r w:rsidDel="00000000" w:rsidR="00000000" w:rsidRPr="00000000">
        <w:rPr>
          <w:b w:val="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6"/>
        </w:tabs>
        <w:spacing w:after="0" w:before="0" w:line="240" w:lineRule="auto"/>
        <w:ind w:left="676" w:right="0" w:hanging="27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Privacy-Related Privileges: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24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These permissions relate specifically to data integration, export, or printing.</w:t>
      </w:r>
    </w:p>
    <w:p w:rsidR="00000000" w:rsidDel="00000000" w:rsidP="00000000" w:rsidRDefault="00000000" w:rsidRPr="00000000" w14:paraId="0000002D">
      <w:pPr>
        <w:spacing w:before="333" w:line="360" w:lineRule="auto"/>
        <w:ind w:left="400" w:right="29" w:firstLine="0"/>
        <w:jc w:val="left"/>
        <w:rPr>
          <w:sz w:val="28"/>
          <w:szCs w:val="28"/>
        </w:rPr>
        <w:sectPr>
          <w:type w:val="nextPage"/>
          <w:pgSz w:h="16840" w:w="11910" w:orient="portrait"/>
          <w:pgMar w:bottom="280" w:top="1400" w:left="1040" w:right="740" w:header="360" w:footer="360"/>
        </w:sectPr>
      </w:pPr>
      <w:r w:rsidDel="00000000" w:rsidR="00000000" w:rsidRPr="00000000">
        <w:rPr>
          <w:sz w:val="28"/>
          <w:szCs w:val="28"/>
          <w:rtl w:val="0"/>
        </w:rPr>
        <w:t xml:space="preserve">Users with these privileges can </w:t>
      </w:r>
      <w:r w:rsidDel="00000000" w:rsidR="00000000" w:rsidRPr="00000000">
        <w:rPr>
          <w:b w:val="1"/>
          <w:sz w:val="28"/>
          <w:szCs w:val="28"/>
          <w:rtl w:val="0"/>
        </w:rPr>
        <w:t xml:space="preserve">export to Excel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print records</w:t>
      </w:r>
      <w:r w:rsidDel="00000000" w:rsidR="00000000" w:rsidRPr="00000000">
        <w:rPr>
          <w:sz w:val="28"/>
          <w:szCs w:val="28"/>
          <w:rtl w:val="0"/>
        </w:rPr>
        <w:t xml:space="preserve">, or use other privacy- related</w:t>
      </w:r>
    </w:p>
    <w:p w:rsidR="00000000" w:rsidDel="00000000" w:rsidP="00000000" w:rsidRDefault="00000000" w:rsidRPr="00000000" w14:paraId="0000002E">
      <w:pPr>
        <w:pStyle w:val="Heading2"/>
        <w:spacing w:before="21" w:lineRule="auto"/>
        <w:ind w:firstLine="0"/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02F">
      <w:pPr>
        <w:spacing w:before="355" w:lineRule="auto"/>
        <w:ind w:left="40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business rule refers to a set of logical conditions and actions that are applied to data entry forms or views.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ind w:left="400" w:firstLine="0"/>
        <w:rPr/>
      </w:pPr>
      <w:r w:rsidDel="00000000" w:rsidR="00000000" w:rsidRPr="00000000">
        <w:rPr>
          <w:rtl w:val="0"/>
        </w:rPr>
        <w:t xml:space="preserve">Scope of Business Rule: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317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I⭲di:id"al Ioíms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15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All Ioíms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15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111111"/>
          <w:sz w:val="22"/>
          <w:szCs w:val="22"/>
          <w:u w:val="none"/>
          <w:shd w:fill="auto" w:val="clear"/>
          <w:vertAlign w:val="baseline"/>
          <w:rtl w:val="0"/>
        </w:rPr>
        <w:t xml:space="preserve">E⭲titQ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0" w:lineRule="auto"/>
        <w:ind w:left="40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color w:val="111111"/>
          <w:sz w:val="28"/>
          <w:szCs w:val="28"/>
          <w:rtl w:val="0"/>
        </w:rPr>
        <w:t xml:space="preserve">Actions</w:t>
      </w:r>
      <w:r w:rsidDel="00000000" w:rsidR="00000000" w:rsidRPr="00000000">
        <w:rPr>
          <w:color w:val="11111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282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Set column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Clear column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Set column requirement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Show or hide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Enable or disable 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Validate data and show 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0" w:lineRule="auto"/>
        <w:ind w:left="40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color w:val="111111"/>
          <w:sz w:val="32"/>
          <w:szCs w:val="32"/>
          <w:rtl w:val="0"/>
        </w:rPr>
        <w:t xml:space="preserve">Calculated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79" w:lineRule="auto"/>
        <w:ind w:left="400" w:right="0" w:firstLine="0"/>
        <w:jc w:val="left"/>
        <w:rPr>
          <w:rFonts w:ascii="Gadugi" w:cs="Gadugi" w:eastAsia="Gadugi" w:hAnsi="Gadugi"/>
          <w:sz w:val="24"/>
          <w:szCs w:val="24"/>
        </w:rPr>
      </w:pP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A rich conditional support provides branching and multiple conditions. The logical operations include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OR 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81" w:lineRule="auto"/>
        <w:ind w:left="400" w:right="1171" w:firstLine="0"/>
        <w:jc w:val="left"/>
        <w:rPr>
          <w:rFonts w:ascii="Gadugi" w:cs="Gadugi" w:eastAsia="Gadugi" w:hAnsi="Gadugi"/>
          <w:sz w:val="24"/>
          <w:szCs w:val="24"/>
        </w:rPr>
      </w:pP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The visual editing capabilities include modern user interface and intellisense in the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ACTION 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dugi" w:cs="Gadugi" w:eastAsia="Gadugi" w:hAnsi="Gadug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Gadugi" w:cs="Gadugi" w:eastAsia="Gadugi" w:hAnsi="Gadug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400" w:right="0" w:firstLine="0"/>
        <w:jc w:val="left"/>
        <w:rPr>
          <w:rFonts w:ascii="Gadugi" w:cs="Gadugi" w:eastAsia="Gadugi" w:hAnsi="Gadugi"/>
          <w:sz w:val="24"/>
          <w:szCs w:val="24"/>
        </w:rPr>
      </w:pP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Some build-in functions 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0" w:line="240" w:lineRule="auto"/>
        <w:ind w:left="400" w:right="449" w:firstLine="0"/>
        <w:jc w:val="left"/>
        <w:rPr>
          <w:rFonts w:ascii="Gadugi" w:cs="Gadugi" w:eastAsia="Gadugi" w:hAnsi="Gadugi"/>
          <w:sz w:val="24"/>
          <w:szCs w:val="24"/>
        </w:rPr>
        <w:sectPr>
          <w:type w:val="nextPage"/>
          <w:pgSz w:h="16840" w:w="11910" w:orient="portrait"/>
          <w:pgMar w:bottom="280" w:top="1400" w:left="1040" w:right="740" w:header="360" w:footer="360"/>
        </w:sectPr>
      </w:pP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ADDHOURS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ADDDAYS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ADDWEEKS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ADDMONTHS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ADDYEARS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SUBTRACTHOU 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SUBTRACTDAYS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SUBTRACTWEEKS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SUBTRACTMONTHS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SUBTRACTYEARS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DIFFINDAYS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DIFFINHOURS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DIFFINMINUTES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DIFFINMONTHS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DIFFINWEEKS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D IFFINYEARS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CONCAT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TRIMLEFT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Gadugi" w:cs="Gadugi" w:eastAsia="Gadugi" w:hAnsi="Gadugi"/>
          <w:b w:val="1"/>
          <w:color w:val="161616"/>
          <w:sz w:val="24"/>
          <w:szCs w:val="24"/>
          <w:rtl w:val="0"/>
        </w:rPr>
        <w:t xml:space="preserve">TRIMRIGHT</w:t>
      </w:r>
      <w:r w:rsidDel="00000000" w:rsidR="00000000" w:rsidRPr="00000000">
        <w:rPr>
          <w:rFonts w:ascii="Gadugi" w:cs="Gadugi" w:eastAsia="Gadugi" w:hAnsi="Gadugi"/>
          <w:color w:val="161616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1" w:lineRule="auto"/>
        <w:ind w:left="461" w:right="0" w:firstLine="0"/>
        <w:jc w:val="left"/>
        <w:rPr>
          <w:b w:val="1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911352</wp:posOffset>
                </wp:positionH>
                <wp:positionV relativeFrom="page">
                  <wp:posOffset>3206496</wp:posOffset>
                </wp:positionV>
                <wp:extent cx="6311265" cy="54654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6311265" cy="5465445"/>
                          <a:chExt cx="6311265" cy="54654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1928" cy="2537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2715767"/>
                            <a:ext cx="6283451" cy="2749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1933955"/>
                            <a:ext cx="6161532" cy="789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2004" y="4562855"/>
                            <a:ext cx="6245351" cy="8122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911352</wp:posOffset>
                </wp:positionH>
                <wp:positionV relativeFrom="page">
                  <wp:posOffset>3206496</wp:posOffset>
                </wp:positionV>
                <wp:extent cx="6311265" cy="546544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1265" cy="5465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color w:val="111111"/>
          <w:sz w:val="28"/>
          <w:szCs w:val="28"/>
          <w:rtl w:val="0"/>
        </w:rPr>
        <w:t xml:space="preserve">Calculated Field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279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Single line of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Option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Two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Whole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2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Decimal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0" w:line="305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Currency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9"/>
        </w:tabs>
        <w:spacing w:after="0" w:before="1" w:line="240" w:lineRule="auto"/>
        <w:ind w:left="1119" w:right="0" w:hanging="359.00000000000006"/>
        <w:jc w:val="left"/>
        <w:rPr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040" w:right="740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61616"/>
          <w:sz w:val="24"/>
          <w:szCs w:val="24"/>
          <w:u w:val="none"/>
          <w:shd w:fill="auto" w:val="clear"/>
          <w:vertAlign w:val="baseline"/>
          <w:rtl w:val="0"/>
        </w:rPr>
        <w:t xml:space="preserve">Date and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040" w:right="740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10164" cy="877824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164" cy="877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46" w:lineRule="auto"/>
        <w:ind w:left="400" w:right="0" w:firstLine="0"/>
        <w:jc w:val="left"/>
        <w:rPr>
          <w:rFonts w:ascii="SimSun-ExtB" w:cs="SimSun-ExtB" w:eastAsia="SimSun-ExtB" w:hAnsi="SimSun-ExtB"/>
          <w:sz w:val="32"/>
          <w:szCs w:val="32"/>
        </w:rPr>
      </w:pPr>
      <w:r w:rsidDel="00000000" w:rsidR="00000000" w:rsidRPr="00000000">
        <w:rPr>
          <w:rFonts w:ascii="SimSun-ExtB" w:cs="SimSun-ExtB" w:eastAsia="SimSun-ExtB" w:hAnsi="SimSun-ExtB"/>
          <w:color w:val="111111"/>
          <w:sz w:val="32"/>
          <w:szCs w:val="32"/>
          <w:rtl w:val="0"/>
        </w:rPr>
        <w:t xml:space="preserve">Appc⭲d a⭲d Appc⭲d ľo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250952</wp:posOffset>
            </wp:positionH>
            <wp:positionV relativeFrom="paragraph">
              <wp:posOffset>197135</wp:posOffset>
            </wp:positionV>
            <wp:extent cx="6001511" cy="3685032"/>
            <wp:effectExtent b="0" l="0" r="0" t="0"/>
            <wp:wrapTopAndBottom distB="0" dist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511" cy="36850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SimSun-ExtB" w:cs="SimSun-ExtB" w:eastAsia="SimSun-ExtB" w:hAnsi="SimSun-ExtB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360" w:left="1040" w:right="7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296672</wp:posOffset>
            </wp:positionH>
            <wp:positionV relativeFrom="paragraph">
              <wp:posOffset>264001</wp:posOffset>
            </wp:positionV>
            <wp:extent cx="5813964" cy="3454717"/>
            <wp:effectExtent b="0" l="0" r="0" t="0"/>
            <wp:wrapTopAndBottom distB="0" dist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964" cy="34547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400" w:right="0" w:firstLine="0"/>
        <w:jc w:val="left"/>
        <w:rPr>
          <w:rFonts w:ascii="SimSun-ExtB" w:cs="SimSun-ExtB" w:eastAsia="SimSun-ExtB" w:hAnsi="SimSun-ExtB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-ExtB" w:cs="SimSun-ExtB" w:eastAsia="SimSun-ExtB" w:hAnsi="SimSun-ExtB"/>
          <w:b w:val="1"/>
          <w:i w:val="0"/>
          <w:smallCaps w:val="0"/>
          <w:strike w:val="0"/>
          <w:color w:val="111111"/>
          <w:sz w:val="28"/>
          <w:szCs w:val="28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SimSun-ExtB" w:cs="SimSun-ExtB" w:eastAsia="SimSun-ExtB" w:hAnsi="SimSun-ExtB"/>
          <w:b w:val="1"/>
          <w:color w:val="111111"/>
          <w:sz w:val="28"/>
          <w:szCs w:val="28"/>
          <w:rtl w:val="0"/>
        </w:rPr>
        <w:t xml:space="preserve">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SimSun-ExtB" w:cs="SimSun-ExtB" w:eastAsia="SimSun-ExtB" w:hAnsi="SimSun-ExtB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250952</wp:posOffset>
            </wp:positionH>
            <wp:positionV relativeFrom="paragraph">
              <wp:posOffset>201453</wp:posOffset>
            </wp:positionV>
            <wp:extent cx="5563927" cy="2397632"/>
            <wp:effectExtent b="0" l="0" r="0" t="0"/>
            <wp:wrapTopAndBottom distB="0" dist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927" cy="2397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SimSun-ExtB" w:cs="SimSun-ExtB" w:eastAsia="SimSun-ExtB" w:hAnsi="SimSun-Ext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SimSun-ExtB" w:cs="SimSun-ExtB" w:eastAsia="SimSun-ExtB" w:hAnsi="SimSun-Ext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SimSun-ExtB" w:cs="SimSun-ExtB" w:eastAsia="SimSun-ExtB" w:hAnsi="SimSun-ExtB"/>
          <w:b w:val="1"/>
          <w:sz w:val="28"/>
          <w:szCs w:val="28"/>
        </w:rPr>
      </w:pPr>
      <w:r w:rsidDel="00000000" w:rsidR="00000000" w:rsidRPr="00000000">
        <w:rPr>
          <w:rFonts w:ascii="SimSun-ExtB" w:cs="SimSun-ExtB" w:eastAsia="SimSun-ExtB" w:hAnsi="SimSun-ExtB"/>
          <w:b w:val="1"/>
          <w:sz w:val="28"/>
          <w:szCs w:val="28"/>
          <w:rtl w:val="0"/>
        </w:rPr>
        <w:t xml:space="preserve">Why we use Data Process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Process Flows (BPF) in Power Apps are used to guide users through a defined set of steps in a process to ensure data consistency and efficiency in business operations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type w:val="nextPage"/>
      <w:pgSz w:h="16840" w:w="11910" w:orient="portrait"/>
      <w:pgMar w:bottom="280" w:top="1340" w:left="1040" w:right="7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Quattrocento Sans"/>
  <w:font w:name="Gadugi"/>
  <w:font w:name="SimSun-ExtB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677" w:hanging="277.99999999999994"/>
      </w:pPr>
      <w:rPr/>
    </w:lvl>
    <w:lvl w:ilvl="1">
      <w:start w:val="1"/>
      <w:numFmt w:val="decimal"/>
      <w:lvlText w:val="%2."/>
      <w:lvlJc w:val="left"/>
      <w:pPr>
        <w:ind w:left="677" w:hanging="277.99999999999994"/>
      </w:pPr>
      <w:rPr>
        <w:rFonts w:ascii="Calibri" w:cs="Calibri" w:eastAsia="Calibri" w:hAnsi="Calibri"/>
        <w:b w:val="1"/>
        <w:i w:val="0"/>
        <w:sz w:val="28"/>
        <w:szCs w:val="28"/>
      </w:rPr>
    </w:lvl>
    <w:lvl w:ilvl="2">
      <w:start w:val="0"/>
      <w:numFmt w:val="bullet"/>
      <w:lvlText w:val="●"/>
      <w:lvlJc w:val="left"/>
      <w:pPr>
        <w:ind w:left="112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3121" w:hanging="360"/>
      </w:pPr>
      <w:rPr/>
    </w:lvl>
    <w:lvl w:ilvl="4">
      <w:start w:val="0"/>
      <w:numFmt w:val="bullet"/>
      <w:lvlText w:val="•"/>
      <w:lvlJc w:val="left"/>
      <w:pPr>
        <w:ind w:left="4122" w:hanging="360"/>
      </w:pPr>
      <w:rPr/>
    </w:lvl>
    <w:lvl w:ilvl="5">
      <w:start w:val="0"/>
      <w:numFmt w:val="bullet"/>
      <w:lvlText w:val="•"/>
      <w:lvlJc w:val="left"/>
      <w:pPr>
        <w:ind w:left="5122" w:hanging="360"/>
      </w:pPr>
      <w:rPr/>
    </w:lvl>
    <w:lvl w:ilvl="6">
      <w:start w:val="0"/>
      <w:numFmt w:val="bullet"/>
      <w:lvlText w:val="•"/>
      <w:lvlJc w:val="left"/>
      <w:pPr>
        <w:ind w:left="6123" w:hanging="360"/>
      </w:pPr>
      <w:rPr/>
    </w:lvl>
    <w:lvl w:ilvl="7">
      <w:start w:val="0"/>
      <w:numFmt w:val="bullet"/>
      <w:lvlText w:val="•"/>
      <w:lvlJc w:val="left"/>
      <w:pPr>
        <w:ind w:left="7124" w:hanging="360"/>
      </w:pPr>
      <w:rPr/>
    </w:lvl>
    <w:lvl w:ilvl="8">
      <w:start w:val="0"/>
      <w:numFmt w:val="bullet"/>
      <w:lvlText w:val="•"/>
      <w:lvlJc w:val="left"/>
      <w:pPr>
        <w:ind w:left="8124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3" w:hanging="318"/>
      </w:pPr>
      <w:rPr>
        <w:rFonts w:ascii="Calibri" w:cs="Calibri" w:eastAsia="Calibri" w:hAnsi="Calibri"/>
        <w:b w:val="1"/>
        <w:i w:val="0"/>
        <w:sz w:val="32"/>
        <w:szCs w:val="32"/>
      </w:rPr>
    </w:lvl>
    <w:lvl w:ilvl="1">
      <w:start w:val="0"/>
      <w:numFmt w:val="bullet"/>
      <w:lvlText w:val="●"/>
      <w:lvlJc w:val="left"/>
      <w:pPr>
        <w:ind w:left="836" w:hanging="360.00000000000006"/>
      </w:pPr>
      <w:rPr>
        <w:rFonts w:ascii="Noto Sans Symbols" w:cs="Noto Sans Symbols" w:eastAsia="Noto Sans Symbols" w:hAnsi="Noto Sans Symbols"/>
        <w:b w:val="0"/>
        <w:i w:val="0"/>
        <w:sz w:val="28"/>
        <w:szCs w:val="28"/>
      </w:rPr>
    </w:lvl>
    <w:lvl w:ilvl="2">
      <w:start w:val="0"/>
      <w:numFmt w:val="bullet"/>
      <w:lvlText w:val="•"/>
      <w:lvlJc w:val="left"/>
      <w:pPr>
        <w:ind w:left="1871" w:hanging="360"/>
      </w:pPr>
      <w:rPr/>
    </w:lvl>
    <w:lvl w:ilvl="3">
      <w:start w:val="0"/>
      <w:numFmt w:val="bullet"/>
      <w:lvlText w:val="•"/>
      <w:lvlJc w:val="left"/>
      <w:pPr>
        <w:ind w:left="2903" w:hanging="360"/>
      </w:pPr>
      <w:rPr/>
    </w:lvl>
    <w:lvl w:ilvl="4">
      <w:start w:val="0"/>
      <w:numFmt w:val="bullet"/>
      <w:lvlText w:val="•"/>
      <w:lvlJc w:val="left"/>
      <w:pPr>
        <w:ind w:left="3935" w:hanging="360"/>
      </w:pPr>
      <w:rPr/>
    </w:lvl>
    <w:lvl w:ilvl="5">
      <w:start w:val="0"/>
      <w:numFmt w:val="bullet"/>
      <w:lvlText w:val="•"/>
      <w:lvlJc w:val="left"/>
      <w:pPr>
        <w:ind w:left="4967" w:hanging="360"/>
      </w:pPr>
      <w:rPr/>
    </w:lvl>
    <w:lvl w:ilvl="6">
      <w:start w:val="0"/>
      <w:numFmt w:val="bullet"/>
      <w:lvlText w:val="•"/>
      <w:lvlJc w:val="left"/>
      <w:pPr>
        <w:ind w:left="5999" w:hanging="360"/>
      </w:pPr>
      <w:rPr/>
    </w:lvl>
    <w:lvl w:ilvl="7">
      <w:start w:val="0"/>
      <w:numFmt w:val="bullet"/>
      <w:lvlText w:val="•"/>
      <w:lvlJc w:val="left"/>
      <w:pPr>
        <w:ind w:left="7030" w:hanging="360"/>
      </w:pPr>
      <w:rPr/>
    </w:lvl>
    <w:lvl w:ilvl="8">
      <w:start w:val="0"/>
      <w:numFmt w:val="bullet"/>
      <w:lvlText w:val="•"/>
      <w:lvlJc w:val="left"/>
      <w:pPr>
        <w:ind w:left="8062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6"/>
    </w:pPr>
    <w:rPr>
      <w:rFonts w:ascii="Calibri" w:cs="Calibri" w:eastAsia="Calibri" w:hAnsi="Calibri"/>
      <w:b w:val="1"/>
      <w:sz w:val="36"/>
      <w:szCs w:val="36"/>
    </w:rPr>
  </w:style>
  <w:style w:type="paragraph" w:styleId="Heading2">
    <w:name w:val="heading 2"/>
    <w:basedOn w:val="Normal"/>
    <w:next w:val="Normal"/>
    <w:pPr>
      <w:ind w:left="400" w:hanging="315"/>
    </w:pPr>
    <w:rPr>
      <w:rFonts w:ascii="Calibri" w:cs="Calibri" w:eastAsia="Calibri" w:hAnsi="Calibri"/>
      <w:b w:val="1"/>
      <w:sz w:val="32"/>
      <w:szCs w:val="32"/>
    </w:rPr>
  </w:style>
  <w:style w:type="paragraph" w:styleId="Heading3">
    <w:name w:val="heading 3"/>
    <w:basedOn w:val="Normal"/>
    <w:next w:val="Normal"/>
    <w:pPr>
      <w:ind w:left="676"/>
    </w:pPr>
    <w:rPr>
      <w:rFonts w:ascii="Calibri" w:cs="Calibri" w:eastAsia="Calibri" w:hAnsi="Calibri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image" Target="media/image1.png"/><Relationship Id="rId2" Type="http://schemas.openxmlformats.org/officeDocument/2006/relationships/image" Target="media/image2.jp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9" Type="http://schemas.openxmlformats.org/officeDocument/2006/relationships/styles" Target="styles.xml"/><Relationship Id="rId14" Type="http://schemas.openxmlformats.org/officeDocument/2006/relationships/image" Target="media/image6.png"/><Relationship Id="rId5" Type="http://schemas.openxmlformats.org/officeDocument/2006/relationships/theme" Target="theme/theme1.xml"/><Relationship Id="rId6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