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8"/>
          <w:sz w:val="40"/>
          <w:szCs w:val="40"/>
        </w:rPr>
        <w:t xml:space="preserve">Business Analysis Report</w:t>
      </w:r>
    </w:p>
    <w:p>
      <w:pPr>
        <w:spacing w:after="40"/>
        <w:jc w:val="center"/>
      </w:pPr>
      <w:r>
        <w:rPr>
          <w:color w:val="555555"/>
          <w:sz w:val="22"/>
          <w:szCs w:val="22"/>
        </w:rPr>
        <w:t xml:space="preserve">Task 3 — Advanced SQL Analysis, KPI Modeling &amp; Variance Dashboard</w:t>
      </w:r>
    </w:p>
    <w:p>
      <w:pPr>
        <w:spacing w:after="300"/>
        <w:jc w:val="center"/>
      </w:pPr>
      <w:r>
        <w:rPr>
          <w:i/>
          <w:iCs/>
          <w:color w:val="888888"/>
          <w:sz w:val="18"/>
          <w:szCs w:val="18"/>
        </w:rPr>
        <w:t xml:space="preserve">Prepared for: Management Review  |  Period Covered: FY2024–FY2025</w:t>
      </w:r>
    </w:p>
    <w:p>
      <w:pPr>
        <w:pStyle w:val="Heading2"/>
        <w:spacing w:after="100" w:before="200"/>
      </w:pPr>
      <w:r>
        <w:t xml:space="preserve">Key Performance Snapshot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pct" w:w="25%"/>
            <w:tcBorders>
              <w:top w:val="single" w:color="BFBFBF" w:sz="4"/>
              <w:left w:val="single" w:color="BFBFBF" w:sz="4"/>
              <w:bottom w:val="single" w:color="BFBFBF" w:sz="4"/>
              <w:right w:val="single" w:color="BFBFBF" w:sz="4"/>
            </w:tcBorders>
            <w:shd w:fill="F2F6FC" w:val="clear"/>
          </w:tcPr>
          <w:p>
            <w:pPr>
              <w:jc w:val="center"/>
            </w:pPr>
            <w:r>
              <w:rPr>
                <w:b/>
                <w:bCs/>
                <w:color w:val="555555"/>
                <w:sz w:val="16"/>
                <w:szCs w:val="16"/>
              </w:rPr>
              <w:t xml:space="preserve">Total Sales (FY24-25)</w:t>
            </w:r>
          </w:p>
          <w:p>
            <w:pPr>
              <w:spacing w:before="60"/>
              <w:jc w:val="center"/>
            </w:pPr>
            <w:r>
              <w:rPr>
                <w:b/>
                <w:bCs/>
                <w:color w:val="1F4E78"/>
                <w:sz w:val="28"/>
                <w:szCs w:val="28"/>
              </w:rPr>
              <w:t xml:space="preserve">$676,087</w:t>
            </w:r>
          </w:p>
        </w:tc>
        <w:tc>
          <w:tcPr>
            <w:tcW w:type="pct" w:w="25%"/>
            <w:tcBorders>
              <w:top w:val="single" w:color="BFBFBF" w:sz="4"/>
              <w:left w:val="single" w:color="BFBFBF" w:sz="4"/>
              <w:bottom w:val="single" w:color="BFBFBF" w:sz="4"/>
              <w:right w:val="single" w:color="BFBFBF" w:sz="4"/>
            </w:tcBorders>
            <w:shd w:fill="F2F6FC" w:val="clear"/>
          </w:tcPr>
          <w:p>
            <w:pPr>
              <w:jc w:val="center"/>
            </w:pPr>
            <w:r>
              <w:rPr>
                <w:b/>
                <w:bCs/>
                <w:color w:val="555555"/>
                <w:sz w:val="16"/>
                <w:szCs w:val="16"/>
              </w:rPr>
              <w:t xml:space="preserve">Total Profit</w:t>
            </w:r>
          </w:p>
          <w:p>
            <w:pPr>
              <w:spacing w:before="60"/>
              <w:jc w:val="center"/>
            </w:pPr>
            <w:r>
              <w:rPr>
                <w:b/>
                <w:bCs/>
                <w:color w:val="1F4E78"/>
                <w:sz w:val="28"/>
                <w:szCs w:val="28"/>
              </w:rPr>
              <w:t xml:space="preserve">$66,038</w:t>
            </w:r>
          </w:p>
        </w:tc>
        <w:tc>
          <w:tcPr>
            <w:tcW w:type="pct" w:w="25%"/>
            <w:tcBorders>
              <w:top w:val="single" w:color="BFBFBF" w:sz="4"/>
              <w:left w:val="single" w:color="BFBFBF" w:sz="4"/>
              <w:bottom w:val="single" w:color="BFBFBF" w:sz="4"/>
              <w:right w:val="single" w:color="BFBFBF" w:sz="4"/>
            </w:tcBorders>
            <w:shd w:fill="F2F6FC" w:val="clear"/>
          </w:tcPr>
          <w:p>
            <w:pPr>
              <w:jc w:val="center"/>
            </w:pPr>
            <w:r>
              <w:rPr>
                <w:b/>
                <w:bCs/>
                <w:color w:val="555555"/>
                <w:sz w:val="16"/>
                <w:szCs w:val="16"/>
              </w:rPr>
              <w:t xml:space="preserve">Overall Margin</w:t>
            </w:r>
          </w:p>
          <w:p>
            <w:pPr>
              <w:spacing w:before="60"/>
              <w:jc w:val="center"/>
            </w:pPr>
            <w:r>
              <w:rPr>
                <w:b/>
                <w:bCs/>
                <w:color w:val="1F4E78"/>
                <w:sz w:val="28"/>
                <w:szCs w:val="28"/>
              </w:rPr>
              <w:t xml:space="preserve">9.8%</w:t>
            </w:r>
          </w:p>
        </w:tc>
        <w:tc>
          <w:tcPr>
            <w:tcW w:type="pct" w:w="25%"/>
            <w:tcBorders>
              <w:top w:val="single" w:color="BFBFBF" w:sz="4"/>
              <w:left w:val="single" w:color="BFBFBF" w:sz="4"/>
              <w:bottom w:val="single" w:color="BFBFBF" w:sz="4"/>
              <w:right w:val="single" w:color="BFBFBF" w:sz="4"/>
            </w:tcBorders>
            <w:shd w:fill="F2F6FC" w:val="clear"/>
          </w:tcPr>
          <w:p>
            <w:pPr>
              <w:jc w:val="center"/>
            </w:pPr>
            <w:r>
              <w:rPr>
                <w:b/>
                <w:bCs/>
                <w:color w:val="555555"/>
                <w:sz w:val="16"/>
                <w:szCs w:val="16"/>
              </w:rPr>
              <w:t xml:space="preserve">YoY Growth</w:t>
            </w:r>
          </w:p>
          <w:p>
            <w:pPr>
              <w:spacing w:before="60"/>
              <w:jc w:val="center"/>
            </w:pPr>
            <w:r>
              <w:rPr>
                <w:b/>
                <w:bCs/>
                <w:color w:val="1F4E78"/>
                <w:sz w:val="28"/>
                <w:szCs w:val="28"/>
              </w:rPr>
              <w:t xml:space="preserve">+74.9%</w:t>
            </w:r>
          </w:p>
        </w:tc>
      </w:tr>
    </w:tbl>
    <w:p>
      <w:pPr>
        <w:spacing w:after="150"/>
      </w:pPr>
    </w:p>
    <w:p>
      <w:pPr>
        <w:pStyle w:val="Heading1"/>
        <w:spacing w:after="150" w:before="300"/>
      </w:pPr>
      <w:r>
        <w:t xml:space="preserve">1. Executive Summary</w:t>
      </w:r>
    </w:p>
    <w:p>
      <w:pPr>
        <w:spacing w:after="150"/>
      </w:pPr>
      <w:r>
        <w:t xml:space="preserve">Maincrafts Technology's Orders dataset (FY2024–FY2025, 1,745 orders across 120 customers) shows a business that is growing strongly year over year, but with meaningful volatility month to month and a widening gap between its strongest and weakest regions and categories. Total sales grew from $245,966 in 2024 to $430,121 in 2025, a 74.9% increase, while overall profit margin held at approximately 9.8%. The sections below answer management's six standing questions, each grounded in the SQL, variance, and dashboard analysis completed in Parts A–C of this task, followed by a set of concrete strategic actions.</w:t>
      </w:r>
    </w:p>
    <w:p>
      <w:pPr>
        <w:pStyle w:val="Heading1"/>
        <w:spacing w:after="150" w:before="300"/>
      </w:pPr>
      <w:r>
        <w:t xml:space="preserve">2. Is the Company Growing Month-over-Month?</w:t>
      </w:r>
    </w:p>
    <w:p>
      <w:pPr>
        <w:spacing w:after="150"/>
      </w:pPr>
      <w:r>
        <w:t xml:space="preserve">Yes, on a year-over-year basis, but month-over-month growth is inconsistent rather than steady. The 24-month trend line shows the business climbing from roughly $15,400 in January 2024 to $36,800 in December 2025, but individual months swing widely — from a 48.4% jump in September 2024 to a 37.7% drop in July 2024. A clear seasonal pattern is visible: both years dip in mid-summer (Jul–Aug) and again in the final month of the year, before recovering. Growth has also decelerated slightly in late 2025 (three consecutive negative months from October to December), which is worth monitoring rather than a cause for alarm given the strong underlying YoY trend.</w:t>
      </w:r>
    </w:p>
    <w:p>
      <w:pPr>
        <w:pStyle w:val="Heading1"/>
        <w:spacing w:after="150" w:before="300"/>
      </w:pPr>
      <w:r>
        <w:t xml:space="preserve">3. Which Region is Underperforming?</w:t>
      </w:r>
    </w:p>
    <w:p>
      <w:pPr>
        <w:spacing w:after="150"/>
      </w:pPr>
      <w:r>
        <w:t xml:space="preserve">The South region. It generates the lowest total sales ($110,812) and, more importantly, the lowest profit margin at 6.3% — noticeably below East (10.4%), West (10.6%), and North (10.3%). The HAVING-clause query in Part A (regions with total profit under $10,000) flags South specifically (~$6,986 total profit). This underperformance is not primarily a volume problem; it is a margin problem driven by discounting behavior (see Question 4).</w:t>
      </w:r>
    </w:p>
    <w:p>
      <w:pPr>
        <w:pStyle w:val="Heading1"/>
        <w:spacing w:after="150" w:before="300"/>
      </w:pPr>
      <w:r>
        <w:t xml:space="preserve">4. Which Category has the Highest Growth?</w:t>
      </w:r>
    </w:p>
    <w:p>
      <w:pPr>
        <w:spacing w:after="150"/>
      </w:pPr>
      <w:r>
        <w:t xml:space="preserve">Technology, by a wide margin. Technology sales grew 90.5% from 2024 to 2025 ($136,622 → $260,244), compared to 56.8% for Furniture and 50.0% for Office Supplies. Technology is also the highest-margin category before discounting, making it the clearest growth engine for the business.</w:t>
      </w:r>
    </w:p>
    <w:p>
      <w:pPr>
        <w:pStyle w:val="Heading1"/>
        <w:spacing w:after="150" w:before="300"/>
      </w:pPr>
      <w:r>
        <w:t xml:space="preserve">5. Are Discounts Reducing Profit?</w:t>
      </w:r>
    </w:p>
    <w:p>
      <w:pPr>
        <w:spacing w:after="150"/>
      </w:pPr>
      <w:r>
        <w:t xml:space="preserve">Yes. Across all orders, discount percentage and profit are negatively correlated (correlation coefficient of -0.32) — as discount depth increases, profit per order consistently falls. This effect is concentrated in the South region, where average discount rates run noticeably higher than in other regions and directly explains its weak 6.3% margin. Order-level CASE classification (Part A, Step 3) combined with a discount-band breakdown confirms that orders with discounts above 20% carry materially thinner, and in some cases negative, profit margins.</w:t>
      </w:r>
    </w:p>
    <w:p>
      <w:pPr>
        <w:pStyle w:val="Heading1"/>
        <w:spacing w:after="150" w:before="300"/>
      </w:pPr>
      <w:r>
        <w:t xml:space="preserve">6. Which Customer Segment Contributes Most Revenue?</w:t>
      </w:r>
    </w:p>
    <w:p>
      <w:pPr>
        <w:spacing w:after="150"/>
      </w:pPr>
      <w:r>
        <w:t xml:space="preserve">The Consumer segment, contributing 48.8% of total revenue ($330,031), ahead of Corporate (34.5%, $233,258) and Home Office (16.7%, $112,799). Consumer is both the largest and most consistent contributor across the two-year period and should be treated as the core revenue base to protect, while Home Office represents the clearest whitespace for growth given its comparatively small share.</w:t>
      </w:r>
    </w:p>
    <w:p>
      <w:pPr>
        <w:pStyle w:val="Heading1"/>
        <w:spacing w:after="150" w:before="300"/>
      </w:pPr>
      <w:r>
        <w:t xml:space="preserve">7. What Strategic Actions Should Management Take?</w:t>
      </w:r>
    </w:p>
    <w:p>
      <w:pPr>
        <w:pStyle w:val="ListParagraph"/>
        <w:numPr>
          <w:ilvl w:val="0"/>
          <w:numId w:val="1"/>
        </w:numPr>
        <w:spacing w:after="80"/>
      </w:pPr>
      <w:r>
        <w:t xml:space="preserve">Fix South region discounting: introduce a discount approval cap (e.g., no discounts above 15% without manager sign-off) and re-run the variance dashboard monthly to confirm margin recovery.</w:t>
      </w:r>
    </w:p>
    <w:p>
      <w:pPr>
        <w:pStyle w:val="ListParagraph"/>
        <w:numPr>
          <w:ilvl w:val="0"/>
          <w:numId w:val="1"/>
        </w:numPr>
        <w:spacing w:after="80"/>
      </w:pPr>
      <w:r>
        <w:t xml:space="preserve">Double down on Technology: shift marketing spend and inventory investment toward Technology given its 90.5% growth rate and strongest underlying margin profile.</w:t>
      </w:r>
    </w:p>
    <w:p>
      <w:pPr>
        <w:pStyle w:val="ListParagraph"/>
        <w:numPr>
          <w:ilvl w:val="0"/>
          <w:numId w:val="1"/>
        </w:numPr>
        <w:spacing w:after="80"/>
      </w:pPr>
      <w:r>
        <w:t xml:space="preserve">Protect the Consumer base while growing Home Office: retention offers for Consumer (already ~49% of revenue) paired with a targeted acquisition campaign for Home Office, the smallest and most underdeveloped segment.</w:t>
      </w:r>
    </w:p>
    <w:p>
      <w:pPr>
        <w:pStyle w:val="ListParagraph"/>
        <w:numPr>
          <w:ilvl w:val="0"/>
          <w:numId w:val="1"/>
        </w:numPr>
        <w:spacing w:after="80"/>
      </w:pPr>
      <w:r>
        <w:t xml:space="preserve">Plan for seasonality: build the Jul–Aug and year-end dips into staffing, inventory, and cash-flow forecasts rather than treating them as anomalies, since the pattern repeats in both years of data.</w:t>
      </w:r>
    </w:p>
    <w:p>
      <w:pPr>
        <w:pStyle w:val="ListParagraph"/>
        <w:numPr>
          <w:ilvl w:val="0"/>
          <w:numId w:val="1"/>
        </w:numPr>
        <w:spacing w:after="80"/>
      </w:pPr>
      <w:r>
        <w:t xml:space="preserve">Watch the Q4 2025 deceleration: three straight months of negative MoM growth (Oct–Dec 2025) warrants a follow-up variance review in Q1 2026 to confirm this is seasonal and not the start of a slowdown.</w:t>
      </w:r>
    </w:p>
    <w:p>
      <w:pPr>
        <w:pStyle w:val="ListParagraph"/>
        <w:numPr>
          <w:ilvl w:val="0"/>
          <w:numId w:val="1"/>
        </w:numPr>
        <w:spacing w:after="80"/>
      </w:pPr>
      <w:r>
        <w:t xml:space="preserve">Operationalize the dashboard: keep the executive dashboard's KPI cards (Total Sales, Profit, Margin, Growth %, Customers) and the four core visuals refreshed monthly so regional and category variance is caught early rather than at year-end.</w:t>
      </w:r>
    </w:p>
    <w:p>
      <w:pPr>
        <w:pStyle w:val="Heading1"/>
        <w:spacing w:after="150" w:before="300"/>
      </w:pPr>
      <w:r>
        <w:t xml:space="preserve">8. Supporting Data Tables</w:t>
      </w:r>
    </w:p>
    <w:p>
      <w:pPr>
        <w:pStyle w:val="Heading2"/>
        <w:spacing w:after="100" w:before="200"/>
      </w:pPr>
      <w:r>
        <w:t xml:space="preserve">Region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pct" w:w="25%"/>
            <w:shd w:fill="1F4E78" w:val="clear"/>
          </w:tcPr>
          <w:p>
            <w:r>
              <w:rPr>
                <w:b/>
                <w:bCs/>
                <w:color w:val="FFFFFF"/>
                <w:sz w:val="18"/>
                <w:szCs w:val="18"/>
              </w:rPr>
              <w:t xml:space="preserve">Region</w:t>
            </w:r>
          </w:p>
        </w:tc>
        <w:tc>
          <w:tcPr>
            <w:tcW w:type="pct" w:w="25%"/>
            <w:shd w:fill="1F4E78" w:val="clear"/>
          </w:tcPr>
          <w:p>
            <w:r>
              <w:rPr>
                <w:b/>
                <w:bCs/>
                <w:color w:val="FFFFFF"/>
                <w:sz w:val="18"/>
                <w:szCs w:val="18"/>
              </w:rPr>
              <w:t xml:space="preserve">Total Sales</w:t>
            </w:r>
          </w:p>
        </w:tc>
        <w:tc>
          <w:tcPr>
            <w:tcW w:type="pct" w:w="25%"/>
            <w:shd w:fill="1F4E78" w:val="clear"/>
          </w:tcPr>
          <w:p>
            <w:r>
              <w:rPr>
                <w:b/>
                <w:bCs/>
                <w:color w:val="FFFFFF"/>
                <w:sz w:val="18"/>
                <w:szCs w:val="18"/>
              </w:rPr>
              <w:t xml:space="preserve">Total Profit</w:t>
            </w:r>
          </w:p>
        </w:tc>
        <w:tc>
          <w:tcPr>
            <w:tcW w:type="pct" w:w="25%"/>
            <w:shd w:fill="1F4E78" w:val="clear"/>
          </w:tcPr>
          <w:p>
            <w:r>
              <w:rPr>
                <w:b/>
                <w:bCs/>
                <w:color w:val="FFFFFF"/>
                <w:sz w:val="18"/>
                <w:szCs w:val="18"/>
              </w:rPr>
              <w:t xml:space="preserve">Profit Margin</w:t>
            </w:r>
          </w:p>
        </w:tc>
      </w:tr>
      <w:tr>
        <w:tc>
          <w:tcPr>
            <w:tcW w:type="pct" w:w="25%"/>
          </w:tcPr>
          <w:p>
            <w:r>
              <w:rPr>
                <w:sz w:val="18"/>
                <w:szCs w:val="18"/>
              </w:rPr>
              <w:t xml:space="preserve">East</w:t>
            </w:r>
          </w:p>
        </w:tc>
        <w:tc>
          <w:tcPr>
            <w:tcW w:type="pct" w:w="25%"/>
          </w:tcPr>
          <w:p>
            <w:r>
              <w:rPr>
                <w:sz w:val="18"/>
                <w:szCs w:val="18"/>
              </w:rPr>
              <w:t xml:space="preserve">$269,079</w:t>
            </w:r>
          </w:p>
        </w:tc>
        <w:tc>
          <w:tcPr>
            <w:tcW w:type="pct" w:w="25%"/>
          </w:tcPr>
          <w:p>
            <w:r>
              <w:rPr>
                <w:sz w:val="18"/>
                <w:szCs w:val="18"/>
              </w:rPr>
              <w:t xml:space="preserve">$27,961</w:t>
            </w:r>
          </w:p>
        </w:tc>
        <w:tc>
          <w:tcPr>
            <w:tcW w:type="pct" w:w="25%"/>
          </w:tcPr>
          <w:p>
            <w:r>
              <w:rPr>
                <w:sz w:val="18"/>
                <w:szCs w:val="18"/>
              </w:rPr>
              <w:t xml:space="preserve">10.4%</w:t>
            </w:r>
          </w:p>
        </w:tc>
      </w:tr>
      <w:tr>
        <w:tc>
          <w:tcPr>
            <w:tcW w:type="pct" w:w="25%"/>
          </w:tcPr>
          <w:p>
            <w:r>
              <w:rPr>
                <w:sz w:val="18"/>
                <w:szCs w:val="18"/>
              </w:rPr>
              <w:t xml:space="preserve">West</w:t>
            </w:r>
          </w:p>
        </w:tc>
        <w:tc>
          <w:tcPr>
            <w:tcW w:type="pct" w:w="25%"/>
          </w:tcPr>
          <w:p>
            <w:r>
              <w:rPr>
                <w:sz w:val="18"/>
                <w:szCs w:val="18"/>
              </w:rPr>
              <w:t xml:space="preserve">$173,591</w:t>
            </w:r>
          </w:p>
        </w:tc>
        <w:tc>
          <w:tcPr>
            <w:tcW w:type="pct" w:w="25%"/>
          </w:tcPr>
          <w:p>
            <w:r>
              <w:rPr>
                <w:sz w:val="18"/>
                <w:szCs w:val="18"/>
              </w:rPr>
              <w:t xml:space="preserve">$18,416</w:t>
            </w:r>
          </w:p>
        </w:tc>
        <w:tc>
          <w:tcPr>
            <w:tcW w:type="pct" w:w="25%"/>
          </w:tcPr>
          <w:p>
            <w:r>
              <w:rPr>
                <w:sz w:val="18"/>
                <w:szCs w:val="18"/>
              </w:rPr>
              <w:t xml:space="preserve">10.6%</w:t>
            </w:r>
          </w:p>
        </w:tc>
      </w:tr>
      <w:tr>
        <w:tc>
          <w:tcPr>
            <w:tcW w:type="pct" w:w="25%"/>
          </w:tcPr>
          <w:p>
            <w:r>
              <w:rPr>
                <w:sz w:val="18"/>
                <w:szCs w:val="18"/>
              </w:rPr>
              <w:t xml:space="preserve">North</w:t>
            </w:r>
          </w:p>
        </w:tc>
        <w:tc>
          <w:tcPr>
            <w:tcW w:type="pct" w:w="25%"/>
          </w:tcPr>
          <w:p>
            <w:r>
              <w:rPr>
                <w:sz w:val="18"/>
                <w:szCs w:val="18"/>
              </w:rPr>
              <w:t xml:space="preserve">$122,606</w:t>
            </w:r>
          </w:p>
        </w:tc>
        <w:tc>
          <w:tcPr>
            <w:tcW w:type="pct" w:w="25%"/>
          </w:tcPr>
          <w:p>
            <w:r>
              <w:rPr>
                <w:sz w:val="18"/>
                <w:szCs w:val="18"/>
              </w:rPr>
              <w:t xml:space="preserve">$12,675</w:t>
            </w:r>
          </w:p>
        </w:tc>
        <w:tc>
          <w:tcPr>
            <w:tcW w:type="pct" w:w="25%"/>
          </w:tcPr>
          <w:p>
            <w:r>
              <w:rPr>
                <w:sz w:val="18"/>
                <w:szCs w:val="18"/>
              </w:rPr>
              <w:t xml:space="preserve">10.3%</w:t>
            </w:r>
          </w:p>
        </w:tc>
      </w:tr>
      <w:tr>
        <w:tc>
          <w:tcPr>
            <w:tcW w:type="pct" w:w="25%"/>
          </w:tcPr>
          <w:p>
            <w:r>
              <w:rPr>
                <w:sz w:val="18"/>
                <w:szCs w:val="18"/>
              </w:rPr>
              <w:t xml:space="preserve">South</w:t>
            </w:r>
          </w:p>
        </w:tc>
        <w:tc>
          <w:tcPr>
            <w:tcW w:type="pct" w:w="25%"/>
          </w:tcPr>
          <w:p>
            <w:r>
              <w:rPr>
                <w:sz w:val="18"/>
                <w:szCs w:val="18"/>
              </w:rPr>
              <w:t xml:space="preserve">$110,812</w:t>
            </w:r>
          </w:p>
        </w:tc>
        <w:tc>
          <w:tcPr>
            <w:tcW w:type="pct" w:w="25%"/>
          </w:tcPr>
          <w:p>
            <w:r>
              <w:rPr>
                <w:sz w:val="18"/>
                <w:szCs w:val="18"/>
              </w:rPr>
              <w:t xml:space="preserve">$6,986</w:t>
            </w:r>
          </w:p>
        </w:tc>
        <w:tc>
          <w:tcPr>
            <w:tcW w:type="pct" w:w="25%"/>
          </w:tcPr>
          <w:p>
            <w:r>
              <w:rPr>
                <w:sz w:val="18"/>
                <w:szCs w:val="18"/>
              </w:rPr>
              <w:t xml:space="preserve">6.3%</w:t>
            </w:r>
          </w:p>
        </w:tc>
      </w:tr>
    </w:tbl>
    <w:p>
      <w:pPr>
        <w:spacing w:after="150"/>
      </w:pPr>
    </w:p>
    <w:p>
      <w:pPr>
        <w:pStyle w:val="Heading2"/>
        <w:spacing w:after="100" w:before="200"/>
      </w:pPr>
      <w:r>
        <w:t xml:space="preserve">Category Growth (2024 vs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pct" w:w="25%"/>
            <w:shd w:fill="1F4E78" w:val="clear"/>
          </w:tcPr>
          <w:p>
            <w:r>
              <w:rPr>
                <w:b/>
                <w:bCs/>
                <w:color w:val="FFFFFF"/>
                <w:sz w:val="18"/>
                <w:szCs w:val="18"/>
              </w:rPr>
              <w:t xml:space="preserve">Category</w:t>
            </w:r>
          </w:p>
        </w:tc>
        <w:tc>
          <w:tcPr>
            <w:tcW w:type="pct" w:w="25%"/>
            <w:shd w:fill="1F4E78" w:val="clear"/>
          </w:tcPr>
          <w:p>
            <w:r>
              <w:rPr>
                <w:b/>
                <w:bCs/>
                <w:color w:val="FFFFFF"/>
                <w:sz w:val="18"/>
                <w:szCs w:val="18"/>
              </w:rPr>
              <w:t xml:space="preserve">2024 Sales</w:t>
            </w:r>
          </w:p>
        </w:tc>
        <w:tc>
          <w:tcPr>
            <w:tcW w:type="pct" w:w="25%"/>
            <w:shd w:fill="1F4E78" w:val="clear"/>
          </w:tcPr>
          <w:p>
            <w:r>
              <w:rPr>
                <w:b/>
                <w:bCs/>
                <w:color w:val="FFFFFF"/>
                <w:sz w:val="18"/>
                <w:szCs w:val="18"/>
              </w:rPr>
              <w:t xml:space="preserve">2025 Sales</w:t>
            </w:r>
          </w:p>
        </w:tc>
        <w:tc>
          <w:tcPr>
            <w:tcW w:type="pct" w:w="25%"/>
            <w:shd w:fill="1F4E78" w:val="clear"/>
          </w:tcPr>
          <w:p>
            <w:r>
              <w:rPr>
                <w:b/>
                <w:bCs/>
                <w:color w:val="FFFFFF"/>
                <w:sz w:val="18"/>
                <w:szCs w:val="18"/>
              </w:rPr>
              <w:t xml:space="preserve">Growth %</w:t>
            </w:r>
          </w:p>
        </w:tc>
      </w:tr>
      <w:tr>
        <w:tc>
          <w:tcPr>
            <w:tcW w:type="pct" w:w="25%"/>
          </w:tcPr>
          <w:p>
            <w:r>
              <w:rPr>
                <w:sz w:val="18"/>
                <w:szCs w:val="18"/>
              </w:rPr>
              <w:t xml:space="preserve">Technology</w:t>
            </w:r>
          </w:p>
        </w:tc>
        <w:tc>
          <w:tcPr>
            <w:tcW w:type="pct" w:w="25%"/>
          </w:tcPr>
          <w:p>
            <w:r>
              <w:rPr>
                <w:sz w:val="18"/>
                <w:szCs w:val="18"/>
              </w:rPr>
              <w:t xml:space="preserve">$136,622</w:t>
            </w:r>
          </w:p>
        </w:tc>
        <w:tc>
          <w:tcPr>
            <w:tcW w:type="pct" w:w="25%"/>
          </w:tcPr>
          <w:p>
            <w:r>
              <w:rPr>
                <w:sz w:val="18"/>
                <w:szCs w:val="18"/>
              </w:rPr>
              <w:t xml:space="preserve">$260,244</w:t>
            </w:r>
          </w:p>
        </w:tc>
        <w:tc>
          <w:tcPr>
            <w:tcW w:type="pct" w:w="25%"/>
          </w:tcPr>
          <w:p>
            <w:r>
              <w:rPr>
                <w:sz w:val="18"/>
                <w:szCs w:val="18"/>
              </w:rPr>
              <w:t xml:space="preserve">90.5%</w:t>
            </w:r>
          </w:p>
        </w:tc>
      </w:tr>
      <w:tr>
        <w:tc>
          <w:tcPr>
            <w:tcW w:type="pct" w:w="25%"/>
          </w:tcPr>
          <w:p>
            <w:r>
              <w:rPr>
                <w:sz w:val="18"/>
                <w:szCs w:val="18"/>
              </w:rPr>
              <w:t xml:space="preserve">Furniture</w:t>
            </w:r>
          </w:p>
        </w:tc>
        <w:tc>
          <w:tcPr>
            <w:tcW w:type="pct" w:w="25%"/>
          </w:tcPr>
          <w:p>
            <w:r>
              <w:rPr>
                <w:sz w:val="18"/>
                <w:szCs w:val="18"/>
              </w:rPr>
              <w:t xml:space="preserve">$85,916</w:t>
            </w:r>
          </w:p>
        </w:tc>
        <w:tc>
          <w:tcPr>
            <w:tcW w:type="pct" w:w="25%"/>
          </w:tcPr>
          <w:p>
            <w:r>
              <w:rPr>
                <w:sz w:val="18"/>
                <w:szCs w:val="18"/>
              </w:rPr>
              <w:t xml:space="preserve">$134,734</w:t>
            </w:r>
          </w:p>
        </w:tc>
        <w:tc>
          <w:tcPr>
            <w:tcW w:type="pct" w:w="25%"/>
          </w:tcPr>
          <w:p>
            <w:r>
              <w:rPr>
                <w:sz w:val="18"/>
                <w:szCs w:val="18"/>
              </w:rPr>
              <w:t xml:space="preserve">56.8%</w:t>
            </w:r>
          </w:p>
        </w:tc>
      </w:tr>
      <w:tr>
        <w:tc>
          <w:tcPr>
            <w:tcW w:type="pct" w:w="25%"/>
          </w:tcPr>
          <w:p>
            <w:r>
              <w:rPr>
                <w:sz w:val="18"/>
                <w:szCs w:val="18"/>
              </w:rPr>
              <w:t xml:space="preserve">Office Supplies</w:t>
            </w:r>
          </w:p>
        </w:tc>
        <w:tc>
          <w:tcPr>
            <w:tcW w:type="pct" w:w="25%"/>
          </w:tcPr>
          <w:p>
            <w:r>
              <w:rPr>
                <w:sz w:val="18"/>
                <w:szCs w:val="18"/>
              </w:rPr>
              <w:t xml:space="preserve">$23,428</w:t>
            </w:r>
          </w:p>
        </w:tc>
        <w:tc>
          <w:tcPr>
            <w:tcW w:type="pct" w:w="25%"/>
          </w:tcPr>
          <w:p>
            <w:r>
              <w:rPr>
                <w:sz w:val="18"/>
                <w:szCs w:val="18"/>
              </w:rPr>
              <w:t xml:space="preserve">$35,143</w:t>
            </w:r>
          </w:p>
        </w:tc>
        <w:tc>
          <w:tcPr>
            <w:tcW w:type="pct" w:w="25%"/>
          </w:tcPr>
          <w:p>
            <w:r>
              <w:rPr>
                <w:sz w:val="18"/>
                <w:szCs w:val="18"/>
              </w:rPr>
              <w:t xml:space="preserve">50.0%</w:t>
            </w:r>
          </w:p>
        </w:tc>
      </w:tr>
    </w:tbl>
    <w:p>
      <w:pPr>
        <w:spacing w:after="150"/>
      </w:pPr>
    </w:p>
    <w:p>
      <w:pPr>
        <w:pStyle w:val="Heading2"/>
        <w:spacing w:after="100" w:before="200"/>
      </w:pPr>
      <w:r>
        <w:t xml:space="preserve">Segment Revenue Contribution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4"/>
      </w:tblGrid>
      <w:tr>
        <w:tc>
          <w:tcPr>
            <w:tcW w:type="pct" w:w="33.333333333333336%"/>
            <w:shd w:fill="1F4E78" w:val="clear"/>
          </w:tcPr>
          <w:p>
            <w:r>
              <w:rPr>
                <w:b/>
                <w:bCs/>
                <w:color w:val="FFFFFF"/>
                <w:sz w:val="18"/>
                <w:szCs w:val="18"/>
              </w:rPr>
              <w:t xml:space="preserve">Segment</w:t>
            </w:r>
          </w:p>
        </w:tc>
        <w:tc>
          <w:tcPr>
            <w:tcW w:type="pct" w:w="33.333333333333336%"/>
            <w:shd w:fill="1F4E78" w:val="clear"/>
          </w:tcPr>
          <w:p>
            <w:r>
              <w:rPr>
                <w:b/>
                <w:bCs/>
                <w:color w:val="FFFFFF"/>
                <w:sz w:val="18"/>
                <w:szCs w:val="18"/>
              </w:rPr>
              <w:t xml:space="preserve">Sales</w:t>
            </w:r>
          </w:p>
        </w:tc>
        <w:tc>
          <w:tcPr>
            <w:tcW w:type="pct" w:w="33.333333333333336%"/>
            <w:shd w:fill="1F4E78" w:val="clear"/>
          </w:tcPr>
          <w:p>
            <w:r>
              <w:rPr>
                <w:b/>
                <w:bCs/>
                <w:color w:val="FFFFFF"/>
                <w:sz w:val="18"/>
                <w:szCs w:val="18"/>
              </w:rPr>
              <w:t xml:space="preserve">Contribution %</w:t>
            </w:r>
          </w:p>
        </w:tc>
      </w:tr>
      <w:tr>
        <w:tc>
          <w:tcPr>
            <w:tcW w:type="pct" w:w="33.333333333333336%"/>
          </w:tcPr>
          <w:p>
            <w:r>
              <w:rPr>
                <w:sz w:val="18"/>
                <w:szCs w:val="18"/>
              </w:rPr>
              <w:t xml:space="preserve">Consumer</w:t>
            </w:r>
          </w:p>
        </w:tc>
        <w:tc>
          <w:tcPr>
            <w:tcW w:type="pct" w:w="33.333333333333336%"/>
          </w:tcPr>
          <w:p>
            <w:r>
              <w:rPr>
                <w:sz w:val="18"/>
                <w:szCs w:val="18"/>
              </w:rPr>
              <w:t xml:space="preserve">$330,031</w:t>
            </w:r>
          </w:p>
        </w:tc>
        <w:tc>
          <w:tcPr>
            <w:tcW w:type="pct" w:w="33.333333333333336%"/>
          </w:tcPr>
          <w:p>
            <w:r>
              <w:rPr>
                <w:sz w:val="18"/>
                <w:szCs w:val="18"/>
              </w:rPr>
              <w:t xml:space="preserve">48.8%</w:t>
            </w:r>
          </w:p>
        </w:tc>
      </w:tr>
      <w:tr>
        <w:tc>
          <w:tcPr>
            <w:tcW w:type="pct" w:w="33.333333333333336%"/>
          </w:tcPr>
          <w:p>
            <w:r>
              <w:rPr>
                <w:sz w:val="18"/>
                <w:szCs w:val="18"/>
              </w:rPr>
              <w:t xml:space="preserve">Corporate</w:t>
            </w:r>
          </w:p>
        </w:tc>
        <w:tc>
          <w:tcPr>
            <w:tcW w:type="pct" w:w="33.333333333333336%"/>
          </w:tcPr>
          <w:p>
            <w:r>
              <w:rPr>
                <w:sz w:val="18"/>
                <w:szCs w:val="18"/>
              </w:rPr>
              <w:t xml:space="preserve">$233,258</w:t>
            </w:r>
          </w:p>
        </w:tc>
        <w:tc>
          <w:tcPr>
            <w:tcW w:type="pct" w:w="33.333333333333336%"/>
          </w:tcPr>
          <w:p>
            <w:r>
              <w:rPr>
                <w:sz w:val="18"/>
                <w:szCs w:val="18"/>
              </w:rPr>
              <w:t xml:space="preserve">34.5%</w:t>
            </w:r>
          </w:p>
        </w:tc>
      </w:tr>
      <w:tr>
        <w:tc>
          <w:tcPr>
            <w:tcW w:type="pct" w:w="33.333333333333336%"/>
          </w:tcPr>
          <w:p>
            <w:r>
              <w:rPr>
                <w:sz w:val="18"/>
                <w:szCs w:val="18"/>
              </w:rPr>
              <w:t xml:space="preserve">Home Office</w:t>
            </w:r>
          </w:p>
        </w:tc>
        <w:tc>
          <w:tcPr>
            <w:tcW w:type="pct" w:w="33.333333333333336%"/>
          </w:tcPr>
          <w:p>
            <w:r>
              <w:rPr>
                <w:sz w:val="18"/>
                <w:szCs w:val="18"/>
              </w:rPr>
              <w:t xml:space="preserve">$112,799</w:t>
            </w:r>
          </w:p>
        </w:tc>
        <w:tc>
          <w:tcPr>
            <w:tcW w:type="pct" w:w="33.333333333333336%"/>
          </w:tcPr>
          <w:p>
            <w:r>
              <w:rPr>
                <w:sz w:val="18"/>
                <w:szCs w:val="18"/>
              </w:rPr>
              <w:t xml:space="preserve">16.7%</w:t>
            </w:r>
          </w:p>
        </w:tc>
      </w:tr>
    </w:tbl>
    <w:p>
      <w:pPr>
        <w:spacing w:before="300"/>
      </w:pPr>
    </w:p>
    <w:p>
      <w:r>
        <w:rPr>
          <w:i/>
          <w:iCs/>
          <w:color w:val="888888"/>
          <w:sz w:val="16"/>
          <w:szCs w:val="16"/>
        </w:rPr>
        <w:t xml:space="preserve">Source: Orders &amp; Customers tables (Task-3 dataset), SQL analysis (Task3_Advanced_SQL_Analysis.sql), and Task3_BI_Workbook.xlsx (Monthly_Variance and Performance_Comparison sheets).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Maincrafts Technology | Data Analytics &amp; BI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2026-07-26T17:14:42.358Z</dcterms:created>
  <dcterms:modified xsi:type="dcterms:W3CDTF">2026-07-26T17:14:42.368Z</dcterms:modified>
</cp:coreProperties>
</file>

<file path=docProps/custom.xml><?xml version="1.0" encoding="utf-8"?>
<Properties xmlns="http://schemas.openxmlformats.org/officeDocument/2006/custom-properties" xmlns:vt="http://schemas.openxmlformats.org/officeDocument/2006/docPropsVTypes"/>
</file>