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048"/>
          <w:sz w:val="40"/>
        </w:rPr>
        <w:t>GemLab: Useful Claude Connectors</w:t>
      </w:r>
    </w:p>
    <w:p>
      <w:pPr>
        <w:jc w:val="center"/>
      </w:pPr>
      <w:r>
        <w:rPr>
          <w:color w:val="5A6469"/>
          <w:sz w:val="20"/>
        </w:rPr>
        <w:t>Shortlist for sales growth, lead discovery, customer support, and marketing.</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center"/>
            <w:shd w:fill="1B4048"/>
          </w:tcPr>
          <w:p>
            <w:r>
              <w:rPr>
                <w:b/>
                <w:color w:val="FFFFFF"/>
                <w:sz w:val="18"/>
              </w:rPr>
              <w:t>Connector</w:t>
            </w:r>
          </w:p>
        </w:tc>
        <w:tc>
          <w:tcPr>
            <w:tcW w:type="dxa" w:w="2520"/>
            <w:vAlign w:val="center"/>
            <w:shd w:fill="1B4048"/>
          </w:tcPr>
          <w:p>
            <w:r>
              <w:rPr>
                <w:b/>
                <w:color w:val="FFFFFF"/>
                <w:sz w:val="18"/>
              </w:rPr>
              <w:t>Benefit for GemLab</w:t>
            </w:r>
          </w:p>
        </w:tc>
        <w:tc>
          <w:tcPr>
            <w:tcW w:type="dxa" w:w="5472"/>
            <w:vAlign w:val="center"/>
            <w:shd w:fill="1B4048"/>
          </w:tcPr>
          <w:p>
            <w:r>
              <w:rPr>
                <w:b/>
                <w:color w:val="FFFFFF"/>
                <w:sz w:val="18"/>
              </w:rPr>
              <w:t>How it is used (one line)</w:t>
            </w:r>
          </w:p>
        </w:tc>
      </w:tr>
      <w:tr>
        <w:tc>
          <w:tcPr>
            <w:tcW w:type="dxa" w:w="1944"/>
            <w:vAlign w:val="center"/>
          </w:tcPr>
          <w:p>
            <w:pPr>
              <w:spacing w:after="40" w:before="40"/>
            </w:pPr>
            <w:r>
              <w:rPr>
                <w:sz w:val="17"/>
              </w:rPr>
              <w:t>HubSpot</w:t>
            </w:r>
          </w:p>
        </w:tc>
        <w:tc>
          <w:tcPr>
            <w:tcW w:type="dxa" w:w="2520"/>
            <w:vAlign w:val="center"/>
          </w:tcPr>
          <w:p>
            <w:pPr>
              <w:spacing w:after="40" w:before="40"/>
            </w:pPr>
            <w:r>
              <w:rPr>
                <w:sz w:val="17"/>
              </w:rPr>
              <w:t>Sales CRM and follow-ups</w:t>
            </w:r>
          </w:p>
        </w:tc>
        <w:tc>
          <w:tcPr>
            <w:tcW w:type="dxa" w:w="5472"/>
            <w:vAlign w:val="center"/>
          </w:tcPr>
          <w:p>
            <w:pPr>
              <w:spacing w:after="40" w:before="40"/>
            </w:pPr>
            <w:r>
              <w:rPr>
                <w:sz w:val="17"/>
              </w:rPr>
              <w:t>Find inactive leads, summarize customer history, and create follow-up tasks in HubSpot.</w:t>
            </w:r>
          </w:p>
        </w:tc>
      </w:tr>
      <w:tr>
        <w:tc>
          <w:tcPr>
            <w:tcW w:type="dxa" w:w="1944"/>
            <w:vAlign w:val="center"/>
          </w:tcPr>
          <w:p>
            <w:pPr>
              <w:spacing w:after="40" w:before="40"/>
            </w:pPr>
            <w:r>
              <w:rPr>
                <w:sz w:val="17"/>
              </w:rPr>
              <w:t>Firecrawl</w:t>
            </w:r>
          </w:p>
        </w:tc>
        <w:tc>
          <w:tcPr>
            <w:tcW w:type="dxa" w:w="2520"/>
            <w:vAlign w:val="center"/>
          </w:tcPr>
          <w:p>
            <w:pPr>
              <w:spacing w:after="40" w:before="40"/>
            </w:pPr>
            <w:r>
              <w:rPr>
                <w:sz w:val="17"/>
              </w:rPr>
              <w:t>Website and competitor research</w:t>
            </w:r>
          </w:p>
        </w:tc>
        <w:tc>
          <w:tcPr>
            <w:tcW w:type="dxa" w:w="5472"/>
            <w:vAlign w:val="center"/>
          </w:tcPr>
          <w:p>
            <w:pPr>
              <w:spacing w:after="40" w:before="40"/>
            </w:pPr>
            <w:r>
              <w:rPr>
                <w:sz w:val="17"/>
              </w:rPr>
              <w:t>Search and extract useful information from permitted public webpages for market research.</w:t>
            </w:r>
          </w:p>
        </w:tc>
      </w:tr>
      <w:tr>
        <w:tc>
          <w:tcPr>
            <w:tcW w:type="dxa" w:w="1944"/>
            <w:vAlign w:val="center"/>
          </w:tcPr>
          <w:p>
            <w:pPr>
              <w:spacing w:after="40" w:before="40"/>
            </w:pPr>
            <w:r>
              <w:rPr>
                <w:sz w:val="17"/>
              </w:rPr>
              <w:t>Exa</w:t>
            </w:r>
          </w:p>
        </w:tc>
        <w:tc>
          <w:tcPr>
            <w:tcW w:type="dxa" w:w="2520"/>
            <w:vAlign w:val="center"/>
          </w:tcPr>
          <w:p>
            <w:pPr>
              <w:spacing w:after="40" w:before="40"/>
            </w:pPr>
            <w:r>
              <w:rPr>
                <w:sz w:val="17"/>
              </w:rPr>
              <w:t>Discover relevant businesses and information</w:t>
            </w:r>
          </w:p>
        </w:tc>
        <w:tc>
          <w:tcPr>
            <w:tcW w:type="dxa" w:w="5472"/>
            <w:vAlign w:val="center"/>
          </w:tcPr>
          <w:p>
            <w:pPr>
              <w:spacing w:after="40" w:before="40"/>
            </w:pPr>
            <w:r>
              <w:rPr>
                <w:sz w:val="17"/>
              </w:rPr>
              <w:t>Search the web for potential business leads, retailers, and market insights.</w:t>
            </w:r>
          </w:p>
        </w:tc>
      </w:tr>
      <w:tr>
        <w:tc>
          <w:tcPr>
            <w:tcW w:type="dxa" w:w="1944"/>
            <w:vAlign w:val="center"/>
          </w:tcPr>
          <w:p>
            <w:pPr>
              <w:spacing w:after="40" w:before="40"/>
            </w:pPr>
            <w:r>
              <w:rPr>
                <w:sz w:val="17"/>
              </w:rPr>
              <w:t>Windsor.ai</w:t>
            </w:r>
          </w:p>
        </w:tc>
        <w:tc>
          <w:tcPr>
            <w:tcW w:type="dxa" w:w="2520"/>
            <w:vAlign w:val="center"/>
          </w:tcPr>
          <w:p>
            <w:pPr>
              <w:spacing w:after="40" w:before="40"/>
            </w:pPr>
            <w:r>
              <w:rPr>
                <w:sz w:val="17"/>
              </w:rPr>
              <w:t>Marketing performance in one place</w:t>
            </w:r>
          </w:p>
        </w:tc>
        <w:tc>
          <w:tcPr>
            <w:tcW w:type="dxa" w:w="5472"/>
            <w:vAlign w:val="center"/>
          </w:tcPr>
          <w:p>
            <w:pPr>
              <w:spacing w:after="40" w:before="40"/>
            </w:pPr>
            <w:r>
              <w:rPr>
                <w:sz w:val="17"/>
              </w:rPr>
              <w:t>Connect ad and analytics platforms so Claude can compare campaign spend, leads, and results.</w:t>
            </w:r>
          </w:p>
        </w:tc>
      </w:tr>
      <w:tr>
        <w:tc>
          <w:tcPr>
            <w:tcW w:type="dxa" w:w="1944"/>
            <w:vAlign w:val="center"/>
          </w:tcPr>
          <w:p>
            <w:pPr>
              <w:spacing w:after="40" w:before="40"/>
            </w:pPr>
            <w:r>
              <w:rPr>
                <w:sz w:val="17"/>
              </w:rPr>
              <w:t>Funnel</w:t>
            </w:r>
          </w:p>
        </w:tc>
        <w:tc>
          <w:tcPr>
            <w:tcW w:type="dxa" w:w="2520"/>
            <w:vAlign w:val="center"/>
          </w:tcPr>
          <w:p>
            <w:pPr>
              <w:spacing w:after="40" w:before="40"/>
            </w:pPr>
            <w:r>
              <w:rPr>
                <w:sz w:val="17"/>
              </w:rPr>
              <w:t>Marketing data reporting</w:t>
            </w:r>
          </w:p>
        </w:tc>
        <w:tc>
          <w:tcPr>
            <w:tcW w:type="dxa" w:w="5472"/>
            <w:vAlign w:val="center"/>
          </w:tcPr>
          <w:p>
            <w:pPr>
              <w:spacing w:after="40" w:before="40"/>
            </w:pPr>
            <w:r>
              <w:rPr>
                <w:sz w:val="17"/>
              </w:rPr>
              <w:t>Bring marketing data from multiple platforms together to prepare clearer performance reports.</w:t>
            </w:r>
          </w:p>
        </w:tc>
      </w:tr>
      <w:tr>
        <w:tc>
          <w:tcPr>
            <w:tcW w:type="dxa" w:w="1944"/>
            <w:vAlign w:val="center"/>
          </w:tcPr>
          <w:p>
            <w:pPr>
              <w:spacing w:after="40" w:before="40"/>
            </w:pPr>
            <w:r>
              <w:rPr>
                <w:sz w:val="17"/>
              </w:rPr>
              <w:t>Google Drive</w:t>
            </w:r>
          </w:p>
        </w:tc>
        <w:tc>
          <w:tcPr>
            <w:tcW w:type="dxa" w:w="2520"/>
            <w:vAlign w:val="center"/>
          </w:tcPr>
          <w:p>
            <w:pPr>
              <w:spacing w:after="40" w:before="40"/>
            </w:pPr>
            <w:r>
              <w:rPr>
                <w:sz w:val="17"/>
              </w:rPr>
              <w:t>GemLab knowledge and policy documents</w:t>
            </w:r>
          </w:p>
        </w:tc>
        <w:tc>
          <w:tcPr>
            <w:tcW w:type="dxa" w:w="5472"/>
            <w:vAlign w:val="center"/>
          </w:tcPr>
          <w:p>
            <w:pPr>
              <w:spacing w:after="40" w:before="40"/>
            </w:pPr>
            <w:r>
              <w:rPr>
                <w:sz w:val="17"/>
              </w:rPr>
              <w:t>Let Claude find approved product details, FAQs, policies, and sales documents to answer questions.</w:t>
            </w:r>
          </w:p>
        </w:tc>
      </w:tr>
      <w:tr>
        <w:tc>
          <w:tcPr>
            <w:tcW w:type="dxa" w:w="1944"/>
            <w:vAlign w:val="center"/>
          </w:tcPr>
          <w:p>
            <w:pPr>
              <w:spacing w:after="40" w:before="40"/>
            </w:pPr>
            <w:r>
              <w:rPr>
                <w:sz w:val="17"/>
              </w:rPr>
              <w:t>Bird</w:t>
            </w:r>
          </w:p>
        </w:tc>
        <w:tc>
          <w:tcPr>
            <w:tcW w:type="dxa" w:w="2520"/>
            <w:vAlign w:val="center"/>
          </w:tcPr>
          <w:p>
            <w:pPr>
              <w:spacing w:after="40" w:before="40"/>
            </w:pPr>
            <w:r>
              <w:rPr>
                <w:sz w:val="17"/>
              </w:rPr>
              <w:t>Customer messaging options</w:t>
            </w:r>
          </w:p>
        </w:tc>
        <w:tc>
          <w:tcPr>
            <w:tcW w:type="dxa" w:w="5472"/>
            <w:vAlign w:val="center"/>
          </w:tcPr>
          <w:p>
            <w:pPr>
              <w:spacing w:after="40" w:before="40"/>
            </w:pPr>
            <w:r>
              <w:rPr>
                <w:sz w:val="17"/>
              </w:rPr>
              <w:t>Explore email, SMS, and WhatsApp messaging as an alternative or additional channel to TeleCRM.</w:t>
            </w:r>
          </w:p>
        </w:tc>
      </w:tr>
      <w:tr>
        <w:tc>
          <w:tcPr>
            <w:tcW w:type="dxa" w:w="1944"/>
            <w:vAlign w:val="center"/>
          </w:tcPr>
          <w:p>
            <w:pPr>
              <w:spacing w:after="40" w:before="40"/>
            </w:pPr>
            <w:r>
              <w:rPr>
                <w:sz w:val="17"/>
              </w:rPr>
              <w:t>Shopify (only if used)</w:t>
            </w:r>
          </w:p>
        </w:tc>
        <w:tc>
          <w:tcPr>
            <w:tcW w:type="dxa" w:w="2520"/>
            <w:vAlign w:val="center"/>
          </w:tcPr>
          <w:p>
            <w:pPr>
              <w:spacing w:after="40" w:before="40"/>
            </w:pPr>
            <w:r>
              <w:rPr>
                <w:sz w:val="17"/>
              </w:rPr>
              <w:t>Online store data</w:t>
            </w:r>
          </w:p>
        </w:tc>
        <w:tc>
          <w:tcPr>
            <w:tcW w:type="dxa" w:w="5472"/>
            <w:vAlign w:val="center"/>
          </w:tcPr>
          <w:p>
            <w:pPr>
              <w:spacing w:after="40" w:before="40"/>
            </w:pPr>
            <w:r>
              <w:rPr>
                <w:sz w:val="17"/>
              </w:rPr>
              <w:t>Analyze orders, products, and customer trends if GemLab's website runs on Shopify.</w:t>
            </w:r>
          </w:p>
        </w:tc>
      </w:tr>
    </w:tbl>
    <w:p/>
    <w:p>
      <w:r>
        <w:rPr>
          <w:b/>
          <w:color w:val="1B4048"/>
          <w:sz w:val="24"/>
        </w:rPr>
        <w:t>Suggested first steps</w:t>
      </w:r>
    </w:p>
    <w:p>
      <w:pPr>
        <w:spacing w:after="60"/>
      </w:pPr>
      <w:r>
        <w:rPr>
          <w:sz w:val="18"/>
        </w:rPr>
        <w:t>1. Start with Google Drive for approved GemLab FAQs, policies, and product information.</w:t>
      </w:r>
    </w:p>
    <w:p>
      <w:pPr>
        <w:spacing w:after="60"/>
      </w:pPr>
      <w:r>
        <w:rPr>
          <w:sz w:val="18"/>
        </w:rPr>
        <w:t>2. Test Firecrawl or Exa for public-web research and lead discovery; review every lead before outreach.</w:t>
      </w:r>
    </w:p>
    <w:p>
      <w:pPr>
        <w:spacing w:after="60"/>
      </w:pPr>
      <w:r>
        <w:rPr>
          <w:sz w:val="18"/>
        </w:rPr>
        <w:t>3. Use Windsor.ai if GemLab wants to compare marketing results across advertising and analytics platforms.</w:t>
      </w:r>
    </w:p>
    <w:p>
      <w:pPr>
        <w:spacing w:after="60"/>
      </w:pPr>
      <w:r>
        <w:rPr>
          <w:sz w:val="18"/>
        </w:rPr>
        <w:t>4. Keep TeleCRM as the current WhatsApp workflow unless a connector offers a clear, verified advantage.</w:t>
      </w:r>
    </w:p>
    <w:p>
      <w:pPr>
        <w:spacing w:before="100"/>
      </w:pPr>
      <w:r>
        <w:rPr>
          <w:i/>
          <w:color w:val="5A6469"/>
          <w:sz w:val="16"/>
        </w:rPr>
        <w:t>Note: These are candidate connectors, not confirmed integrations with GemLab's current systems. Check access, pricing, permissions, and compatibility before connecting. Public business contact details do not automatically mean consent for marketing messages.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