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D53B0">
      <w:pPr>
        <w:spacing w:after="20"/>
      </w:pPr>
      <w:r>
        <w:rPr>
          <w:b/>
          <w:color w:val="B58B42"/>
          <w:sz w:val="20"/>
        </w:rPr>
        <w:t>GEMLAB  |  AUTOMATION PROJECT</w:t>
      </w:r>
    </w:p>
    <w:p w14:paraId="67E8E280">
      <w:pPr>
        <w:pStyle w:val="36"/>
        <w:spacing w:after="60"/>
      </w:pPr>
      <w:r>
        <w:t>Automated Lead Discovery &amp; TeleCRM Integration</w:t>
      </w:r>
    </w:p>
    <w:p w14:paraId="3B7FB3BA">
      <w:pPr>
        <w:spacing w:after="80"/>
      </w:pPr>
      <w:r>
        <w:t>A practical, non-technical project guide with workflow, tools, libraries and implementation steps.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4"/>
      </w:tblGrid>
      <w:tr w14:paraId="03862005">
        <w:tc>
          <w:tcPr>
            <w:tcW w:w="10454" w:type="dxa"/>
            <w:shd w:val="clear" w:color="auto" w:fill="EAF2F8"/>
          </w:tcPr>
          <w:p w14:paraId="3CA4F72E">
            <w:pPr>
              <w:spacing w:before="20" w:after="20"/>
            </w:pPr>
            <w:r>
              <w:rPr>
                <w:rFonts w:ascii="Aptos" w:hAnsi="Aptos"/>
                <w:b w:val="0"/>
                <w:color w:val="12283F"/>
                <w:sz w:val="18"/>
              </w:rPr>
              <w:t>PROJECT GOAL</w:t>
            </w:r>
            <w:r>
              <w:rPr>
                <w:rFonts w:ascii="Aptos" w:hAnsi="Aptos"/>
                <w:b w:val="0"/>
                <w:color w:val="12283F"/>
                <w:sz w:val="18"/>
              </w:rPr>
              <w:br w:type="textWrapping"/>
            </w:r>
            <w:r>
              <w:rPr>
                <w:rFonts w:ascii="Aptos" w:hAnsi="Aptos"/>
                <w:b w:val="0"/>
                <w:color w:val="12283F"/>
                <w:sz w:val="18"/>
              </w:rPr>
              <w:t>Reduce manual searching by finding relevant business leads from permitted sources, cleaning the records, and sending suitable leads to TeleCRM for the sales team.</w:t>
            </w:r>
          </w:p>
        </w:tc>
      </w:tr>
    </w:tbl>
    <w:p w14:paraId="255A186A">
      <w:pPr>
        <w:pStyle w:val="2"/>
        <w:spacing w:before="140" w:after="60"/>
      </w:pPr>
      <w:r>
        <w:t>1. How the system works</w:t>
      </w:r>
    </w:p>
    <w:p w14:paraId="12B86766"/>
    <w:p w14:paraId="7DB959BA">
      <w:r>
        <w:drawing>
          <wp:inline distT="0" distB="0" distL="114300" distR="114300">
            <wp:extent cx="6263640" cy="138684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b="6678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A829"/>
    <w:p w14:paraId="1B4781F6">
      <w:r>
        <w:t>In simple terms: choose who to find → collect business details from approved sources → remove duplicates → review lead quality → send to TeleCRM → track sales outcomes.</w:t>
      </w:r>
      <w:bookmarkStart w:id="0" w:name="_GoBack"/>
      <w:bookmarkEnd w:id="0"/>
    </w:p>
    <w:p w14:paraId="17EEF03B">
      <w:pPr>
        <w:pStyle w:val="2"/>
        <w:spacing w:before="140" w:after="60"/>
      </w:pPr>
      <w:r>
        <w:t>2. What information can be collected?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7560"/>
      </w:tblGrid>
      <w:tr w14:paraId="3B7FC6FD">
        <w:tc>
          <w:tcPr>
            <w:tcW w:w="2232" w:type="dxa"/>
            <w:shd w:val="clear" w:color="auto" w:fill="EAF2F8"/>
          </w:tcPr>
          <w:p w14:paraId="55AE8AC3">
            <w:pPr>
              <w:spacing w:before="20" w:after="20"/>
            </w:pPr>
            <w:r>
              <w:rPr>
                <w:rFonts w:ascii="Aptos" w:hAnsi="Aptos"/>
                <w:b/>
                <w:color w:val="12283F"/>
                <w:sz w:val="18"/>
              </w:rPr>
              <w:t>Business name</w:t>
            </w:r>
          </w:p>
        </w:tc>
        <w:tc>
          <w:tcPr>
            <w:tcW w:w="7560" w:type="dxa"/>
          </w:tcPr>
          <w:p w14:paraId="3D641C13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8"/>
              </w:rPr>
              <w:t>Name of the shop or company.</w:t>
            </w:r>
          </w:p>
        </w:tc>
      </w:tr>
      <w:tr w14:paraId="79B00D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shd w:val="clear" w:color="auto" w:fill="EAF2F8"/>
          </w:tcPr>
          <w:p w14:paraId="66FD0CFC">
            <w:pPr>
              <w:spacing w:before="20" w:after="20"/>
            </w:pPr>
            <w:r>
              <w:rPr>
                <w:rFonts w:ascii="Aptos" w:hAnsi="Aptos"/>
                <w:b/>
                <w:color w:val="12283F"/>
                <w:sz w:val="18"/>
              </w:rPr>
              <w:t>Public business phone</w:t>
            </w:r>
          </w:p>
        </w:tc>
        <w:tc>
          <w:tcPr>
            <w:tcW w:w="7560" w:type="dxa"/>
          </w:tcPr>
          <w:p w14:paraId="22CDF934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8"/>
              </w:rPr>
              <w:t>A number explicitly listed for business contact, where permitted.</w:t>
            </w:r>
          </w:p>
        </w:tc>
      </w:tr>
      <w:tr w14:paraId="12B5B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shd w:val="clear" w:color="auto" w:fill="EAF2F8"/>
          </w:tcPr>
          <w:p w14:paraId="79A33172">
            <w:pPr>
              <w:spacing w:before="20" w:after="20"/>
            </w:pPr>
            <w:r>
              <w:rPr>
                <w:rFonts w:ascii="Aptos" w:hAnsi="Aptos"/>
                <w:b/>
                <w:color w:val="12283F"/>
                <w:sz w:val="18"/>
              </w:rPr>
              <w:t>Website / source URL</w:t>
            </w:r>
          </w:p>
        </w:tc>
        <w:tc>
          <w:tcPr>
            <w:tcW w:w="7560" w:type="dxa"/>
          </w:tcPr>
          <w:p w14:paraId="5243FC88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8"/>
              </w:rPr>
              <w:t>Where the record was found, for review and audit.</w:t>
            </w:r>
          </w:p>
        </w:tc>
      </w:tr>
      <w:tr w14:paraId="5607B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shd w:val="clear" w:color="auto" w:fill="EAF2F8"/>
          </w:tcPr>
          <w:p w14:paraId="3CD91867">
            <w:pPr>
              <w:spacing w:before="20" w:after="20"/>
            </w:pPr>
            <w:r>
              <w:rPr>
                <w:rFonts w:ascii="Aptos" w:hAnsi="Aptos"/>
                <w:b/>
                <w:color w:val="12283F"/>
                <w:sz w:val="18"/>
              </w:rPr>
              <w:t>City / region</w:t>
            </w:r>
          </w:p>
        </w:tc>
        <w:tc>
          <w:tcPr>
            <w:tcW w:w="7560" w:type="dxa"/>
          </w:tcPr>
          <w:p w14:paraId="6826B836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8"/>
              </w:rPr>
              <w:t>Helps the sales team prioritize relevant areas.</w:t>
            </w:r>
          </w:p>
        </w:tc>
      </w:tr>
      <w:tr w14:paraId="6E9949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shd w:val="clear" w:color="auto" w:fill="EAF2F8"/>
          </w:tcPr>
          <w:p w14:paraId="3F152494">
            <w:pPr>
              <w:spacing w:before="20" w:after="20"/>
            </w:pPr>
            <w:r>
              <w:rPr>
                <w:rFonts w:ascii="Aptos" w:hAnsi="Aptos"/>
                <w:b/>
                <w:color w:val="12283F"/>
                <w:sz w:val="18"/>
              </w:rPr>
              <w:t>Business category</w:t>
            </w:r>
          </w:p>
        </w:tc>
        <w:tc>
          <w:tcPr>
            <w:tcW w:w="7560" w:type="dxa"/>
          </w:tcPr>
          <w:p w14:paraId="741DCB8F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8"/>
              </w:rPr>
              <w:t>For example, jewellery retailer, gemstone dealer or potential partner.</w:t>
            </w:r>
          </w:p>
        </w:tc>
      </w:tr>
      <w:tr w14:paraId="2E1B25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shd w:val="clear" w:color="auto" w:fill="EAF2F8"/>
          </w:tcPr>
          <w:p w14:paraId="496985C2">
            <w:pPr>
              <w:spacing w:before="20" w:after="20"/>
            </w:pPr>
            <w:r>
              <w:rPr>
                <w:rFonts w:ascii="Aptos" w:hAnsi="Aptos"/>
                <w:b/>
                <w:color w:val="12283F"/>
                <w:sz w:val="18"/>
              </w:rPr>
              <w:t>Lead status</w:t>
            </w:r>
          </w:p>
        </w:tc>
        <w:tc>
          <w:tcPr>
            <w:tcW w:w="7560" w:type="dxa"/>
          </w:tcPr>
          <w:p w14:paraId="136258E2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8"/>
              </w:rPr>
              <w:t>New, reviewed, qualified, contacted, interested or not suitable.</w:t>
            </w:r>
          </w:p>
        </w:tc>
      </w:tr>
      <w:tr w14:paraId="39D79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shd w:val="clear" w:color="auto" w:fill="EAF2F8"/>
          </w:tcPr>
          <w:p w14:paraId="4C1D6CA0">
            <w:pPr>
              <w:spacing w:before="20" w:after="20"/>
            </w:pPr>
            <w:r>
              <w:rPr>
                <w:rFonts w:ascii="Aptos" w:hAnsi="Aptos"/>
                <w:b/>
                <w:color w:val="12283F"/>
                <w:sz w:val="18"/>
              </w:rPr>
              <w:t>Permission / opt-out status</w:t>
            </w:r>
          </w:p>
        </w:tc>
        <w:tc>
          <w:tcPr>
            <w:tcW w:w="7560" w:type="dxa"/>
          </w:tcPr>
          <w:p w14:paraId="7FB8FB27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8"/>
              </w:rPr>
              <w:t>Record the basis for contact and suppress future outreach when required.</w:t>
            </w:r>
          </w:p>
        </w:tc>
      </w:tr>
    </w:tbl>
    <w:p w14:paraId="72F2C261">
      <w:pPr>
        <w:pStyle w:val="2"/>
        <w:spacing w:before="140" w:after="60"/>
      </w:pPr>
      <w:r>
        <w:t>3. Recommended tools and libraries</w:t>
      </w:r>
    </w:p>
    <w:p w14:paraId="41924AFC">
      <w:r>
        <w:t>Choose the smallest stack that solves the problem. Start with one approved source and a test TeleCRM workflow before scaling.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448"/>
        <w:gridCol w:w="5328"/>
      </w:tblGrid>
      <w:tr w14:paraId="41BBF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EAF2F8"/>
          </w:tcPr>
          <w:p w14:paraId="0F014339">
            <w:pPr>
              <w:spacing w:before="20" w:after="20"/>
            </w:pPr>
            <w:r>
              <w:rPr>
                <w:rFonts w:ascii="Aptos" w:hAnsi="Aptos"/>
                <w:b/>
                <w:color w:val="12283F"/>
                <w:sz w:val="16"/>
              </w:rPr>
              <w:t>Tool / library</w:t>
            </w:r>
          </w:p>
        </w:tc>
        <w:tc>
          <w:tcPr>
            <w:tcW w:w="2448" w:type="dxa"/>
            <w:shd w:val="clear" w:color="auto" w:fill="EAF2F8"/>
          </w:tcPr>
          <w:p w14:paraId="1D11D752">
            <w:pPr>
              <w:spacing w:before="20" w:after="20"/>
            </w:pPr>
            <w:r>
              <w:rPr>
                <w:rFonts w:ascii="Aptos" w:hAnsi="Aptos"/>
                <w:b/>
                <w:color w:val="12283F"/>
                <w:sz w:val="16"/>
              </w:rPr>
              <w:t>Purpose</w:t>
            </w:r>
          </w:p>
        </w:tc>
        <w:tc>
          <w:tcPr>
            <w:tcW w:w="5328" w:type="dxa"/>
            <w:shd w:val="clear" w:color="auto" w:fill="EAF2F8"/>
          </w:tcPr>
          <w:p w14:paraId="1F9A80AE">
            <w:pPr>
              <w:spacing w:before="20" w:after="20"/>
            </w:pPr>
            <w:r>
              <w:rPr>
                <w:rFonts w:ascii="Aptos" w:hAnsi="Aptos"/>
                <w:b/>
                <w:color w:val="12283F"/>
                <w:sz w:val="16"/>
              </w:rPr>
              <w:t>When to use it</w:t>
            </w:r>
          </w:p>
        </w:tc>
      </w:tr>
      <w:tr w14:paraId="7DCC0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F3F6FA"/>
          </w:tcPr>
          <w:p w14:paraId="79EA8284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Python</w:t>
            </w:r>
          </w:p>
        </w:tc>
        <w:tc>
          <w:tcPr>
            <w:tcW w:w="2448" w:type="dxa"/>
            <w:shd w:val="clear" w:color="auto" w:fill="FFFFFF"/>
          </w:tcPr>
          <w:p w14:paraId="185825E1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Main automation language</w:t>
            </w:r>
          </w:p>
        </w:tc>
        <w:tc>
          <w:tcPr>
            <w:tcW w:w="5328" w:type="dxa"/>
            <w:shd w:val="clear" w:color="auto" w:fill="FFFFFF"/>
          </w:tcPr>
          <w:p w14:paraId="2223381A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Runs collection, cleaning, scoring and sync tasks.</w:t>
            </w:r>
          </w:p>
        </w:tc>
      </w:tr>
      <w:tr w14:paraId="0273B7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F3F6FA"/>
          </w:tcPr>
          <w:p w14:paraId="62AFB4CD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n8n</w:t>
            </w:r>
          </w:p>
        </w:tc>
        <w:tc>
          <w:tcPr>
            <w:tcW w:w="2448" w:type="dxa"/>
            <w:shd w:val="clear" w:color="auto" w:fill="FFFFFF"/>
          </w:tcPr>
          <w:p w14:paraId="18C3A8BA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Workflow automation</w:t>
            </w:r>
          </w:p>
        </w:tc>
        <w:tc>
          <w:tcPr>
            <w:tcW w:w="5328" w:type="dxa"/>
            <w:shd w:val="clear" w:color="auto" w:fill="FFFFFF"/>
          </w:tcPr>
          <w:p w14:paraId="653CDCF6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Connects scheduled jobs, approvals, alerts and TeleCRM actions.</w:t>
            </w:r>
          </w:p>
        </w:tc>
      </w:tr>
      <w:tr w14:paraId="01A307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F3F6FA"/>
          </w:tcPr>
          <w:p w14:paraId="2FB14777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Requests or HTTPX</w:t>
            </w:r>
          </w:p>
        </w:tc>
        <w:tc>
          <w:tcPr>
            <w:tcW w:w="2448" w:type="dxa"/>
            <w:shd w:val="clear" w:color="auto" w:fill="FFFFFF"/>
          </w:tcPr>
          <w:p w14:paraId="56E2B4D4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Call web/API endpoints</w:t>
            </w:r>
          </w:p>
        </w:tc>
        <w:tc>
          <w:tcPr>
            <w:tcW w:w="5328" w:type="dxa"/>
            <w:shd w:val="clear" w:color="auto" w:fill="FFFFFF"/>
          </w:tcPr>
          <w:p w14:paraId="5EAE56AB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Use for documented APIs and permitted HTTP requests.</w:t>
            </w:r>
          </w:p>
        </w:tc>
      </w:tr>
      <w:tr w14:paraId="6D8A5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F3F6FA"/>
          </w:tcPr>
          <w:p w14:paraId="5EBB03A4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Beautiful Soup 4</w:t>
            </w:r>
          </w:p>
        </w:tc>
        <w:tc>
          <w:tcPr>
            <w:tcW w:w="2448" w:type="dxa"/>
            <w:shd w:val="clear" w:color="auto" w:fill="FFFFFF"/>
          </w:tcPr>
          <w:p w14:paraId="040D2742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Read HTML pages</w:t>
            </w:r>
          </w:p>
        </w:tc>
        <w:tc>
          <w:tcPr>
            <w:tcW w:w="5328" w:type="dxa"/>
            <w:shd w:val="clear" w:color="auto" w:fill="FFFFFF"/>
          </w:tcPr>
          <w:p w14:paraId="3B2EC171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Use only where site terms permit page parsing; not for bypassing controls.</w:t>
            </w:r>
          </w:p>
        </w:tc>
      </w:tr>
      <w:tr w14:paraId="481B73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F3F6FA"/>
          </w:tcPr>
          <w:p w14:paraId="712D0BE6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Scrapy</w:t>
            </w:r>
          </w:p>
        </w:tc>
        <w:tc>
          <w:tcPr>
            <w:tcW w:w="2448" w:type="dxa"/>
            <w:shd w:val="clear" w:color="auto" w:fill="FFFFFF"/>
          </w:tcPr>
          <w:p w14:paraId="2974EDBF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Structured crawling</w:t>
            </w:r>
          </w:p>
        </w:tc>
        <w:tc>
          <w:tcPr>
            <w:tcW w:w="5328" w:type="dxa"/>
            <w:shd w:val="clear" w:color="auto" w:fill="FFFFFF"/>
          </w:tcPr>
          <w:p w14:paraId="282820A2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For larger, permitted crawling projects with rate limits and source rules.</w:t>
            </w:r>
          </w:p>
        </w:tc>
      </w:tr>
      <w:tr w14:paraId="5B53F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F3F6FA"/>
          </w:tcPr>
          <w:p w14:paraId="57E42646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pandas</w:t>
            </w:r>
          </w:p>
        </w:tc>
        <w:tc>
          <w:tcPr>
            <w:tcW w:w="2448" w:type="dxa"/>
            <w:shd w:val="clear" w:color="auto" w:fill="FFFFFF"/>
          </w:tcPr>
          <w:p w14:paraId="4C1BF995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Clean and organize records</w:t>
            </w:r>
          </w:p>
        </w:tc>
        <w:tc>
          <w:tcPr>
            <w:tcW w:w="5328" w:type="dxa"/>
            <w:shd w:val="clear" w:color="auto" w:fill="FFFFFF"/>
          </w:tcPr>
          <w:p w14:paraId="624B2525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Normalize columns, filter incomplete records and export CSV/XLSX.</w:t>
            </w:r>
          </w:p>
        </w:tc>
      </w:tr>
      <w:tr w14:paraId="1D3FB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F3F6FA"/>
          </w:tcPr>
          <w:p w14:paraId="4E927366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phonenumbers</w:t>
            </w:r>
          </w:p>
        </w:tc>
        <w:tc>
          <w:tcPr>
            <w:tcW w:w="2448" w:type="dxa"/>
            <w:shd w:val="clear" w:color="auto" w:fill="FFFFFF"/>
          </w:tcPr>
          <w:p w14:paraId="6E74301C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Phone-format checks</w:t>
            </w:r>
          </w:p>
        </w:tc>
        <w:tc>
          <w:tcPr>
            <w:tcW w:w="5328" w:type="dxa"/>
            <w:shd w:val="clear" w:color="auto" w:fill="FFFFFF"/>
          </w:tcPr>
          <w:p w14:paraId="316BEB12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Checks number format; does not prove ownership or consent.</w:t>
            </w:r>
          </w:p>
        </w:tc>
      </w:tr>
      <w:tr w14:paraId="6A34E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F3F6FA"/>
          </w:tcPr>
          <w:p w14:paraId="5B4E726B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Pydantic</w:t>
            </w:r>
          </w:p>
        </w:tc>
        <w:tc>
          <w:tcPr>
            <w:tcW w:w="2448" w:type="dxa"/>
            <w:shd w:val="clear" w:color="auto" w:fill="FFFFFF"/>
          </w:tcPr>
          <w:p w14:paraId="69662294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Validate record schema</w:t>
            </w:r>
          </w:p>
        </w:tc>
        <w:tc>
          <w:tcPr>
            <w:tcW w:w="5328" w:type="dxa"/>
            <w:shd w:val="clear" w:color="auto" w:fill="FFFFFF"/>
          </w:tcPr>
          <w:p w14:paraId="61367ADA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Ensures required fields and expected data types.</w:t>
            </w:r>
          </w:p>
        </w:tc>
      </w:tr>
      <w:tr w14:paraId="4B288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F3F6FA"/>
          </w:tcPr>
          <w:p w14:paraId="05F35A49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SQLAlchemy + PostgreSQL</w:t>
            </w:r>
          </w:p>
        </w:tc>
        <w:tc>
          <w:tcPr>
            <w:tcW w:w="2448" w:type="dxa"/>
            <w:shd w:val="clear" w:color="auto" w:fill="FFFFFF"/>
          </w:tcPr>
          <w:p w14:paraId="37D26BAF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Store and deduplicate leads</w:t>
            </w:r>
          </w:p>
        </w:tc>
        <w:tc>
          <w:tcPr>
            <w:tcW w:w="5328" w:type="dxa"/>
            <w:shd w:val="clear" w:color="auto" w:fill="FFFFFF"/>
          </w:tcPr>
          <w:p w14:paraId="1E20448E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Useful for audit history, source tracking and production storage.</w:t>
            </w:r>
          </w:p>
        </w:tc>
      </w:tr>
      <w:tr w14:paraId="0F2E16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F3F6FA"/>
          </w:tcPr>
          <w:p w14:paraId="70DE6C83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RapidFuzz</w:t>
            </w:r>
          </w:p>
        </w:tc>
        <w:tc>
          <w:tcPr>
            <w:tcW w:w="2448" w:type="dxa"/>
            <w:shd w:val="clear" w:color="auto" w:fill="FFFFFF"/>
          </w:tcPr>
          <w:p w14:paraId="30199FA0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Possible duplicate matching</w:t>
            </w:r>
          </w:p>
        </w:tc>
        <w:tc>
          <w:tcPr>
            <w:tcW w:w="5328" w:type="dxa"/>
            <w:shd w:val="clear" w:color="auto" w:fill="FFFFFF"/>
          </w:tcPr>
          <w:p w14:paraId="4A92EABB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Flags similar business names/addresses for review.</w:t>
            </w:r>
          </w:p>
        </w:tc>
      </w:tr>
      <w:tr w14:paraId="384647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F3F6FA"/>
          </w:tcPr>
          <w:p w14:paraId="494EA35F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FastAPI</w:t>
            </w:r>
          </w:p>
        </w:tc>
        <w:tc>
          <w:tcPr>
            <w:tcW w:w="2448" w:type="dxa"/>
            <w:shd w:val="clear" w:color="auto" w:fill="FFFFFF"/>
          </w:tcPr>
          <w:p w14:paraId="4C00F265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Optional backend/API</w:t>
            </w:r>
          </w:p>
        </w:tc>
        <w:tc>
          <w:tcPr>
            <w:tcW w:w="5328" w:type="dxa"/>
            <w:shd w:val="clear" w:color="auto" w:fill="FFFFFF"/>
          </w:tcPr>
          <w:p w14:paraId="748E6DD1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Useful if the workflow needs a custom service or web dashboard.</w:t>
            </w:r>
          </w:p>
        </w:tc>
      </w:tr>
      <w:tr w14:paraId="0E20B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F3F6FA"/>
          </w:tcPr>
          <w:p w14:paraId="0241D64A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TeleCRM API / workflow</w:t>
            </w:r>
          </w:p>
        </w:tc>
        <w:tc>
          <w:tcPr>
            <w:tcW w:w="2448" w:type="dxa"/>
            <w:shd w:val="clear" w:color="auto" w:fill="FFFFFF"/>
          </w:tcPr>
          <w:p w14:paraId="2C0DC4D1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CRM destination</w:t>
            </w:r>
          </w:p>
        </w:tc>
        <w:tc>
          <w:tcPr>
            <w:tcW w:w="5328" w:type="dxa"/>
            <w:shd w:val="clear" w:color="auto" w:fill="FFFFFF"/>
          </w:tcPr>
          <w:p w14:paraId="3E2A2D0E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Use only actions documented and enabled for GemLab's account.</w:t>
            </w:r>
          </w:p>
        </w:tc>
      </w:tr>
      <w:tr w14:paraId="6749B7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F3F6FA"/>
          </w:tcPr>
          <w:p w14:paraId="421BCC7C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Metabase (optional)</w:t>
            </w:r>
          </w:p>
        </w:tc>
        <w:tc>
          <w:tcPr>
            <w:tcW w:w="2448" w:type="dxa"/>
            <w:shd w:val="clear" w:color="auto" w:fill="FFFFFF"/>
          </w:tcPr>
          <w:p w14:paraId="1CA75EF5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Reporting dashboard</w:t>
            </w:r>
          </w:p>
        </w:tc>
        <w:tc>
          <w:tcPr>
            <w:tcW w:w="5328" w:type="dxa"/>
            <w:shd w:val="clear" w:color="auto" w:fill="FFFFFF"/>
          </w:tcPr>
          <w:p w14:paraId="69423D34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6"/>
              </w:rPr>
              <w:t>Reports on lead counts, quality, follow-up and conversion.</w:t>
            </w:r>
          </w:p>
        </w:tc>
      </w:tr>
    </w:tbl>
    <w:p w14:paraId="5CB7FD87">
      <w:pPr>
        <w:pStyle w:val="2"/>
        <w:spacing w:before="140" w:after="60"/>
      </w:pPr>
      <w:r>
        <w:t>4. Suggested technical stack</w:t>
      </w:r>
    </w:p>
    <w:p w14:paraId="0D79E1CB">
      <w:pPr>
        <w:pStyle w:val="23"/>
        <w:spacing w:after="20" w:line="240" w:lineRule="auto"/>
      </w:pPr>
      <w:r>
        <w:t>Starter MVP: Python + Requests/HTTPX + pandas + Pydantic + one permitted source + CSV review + TeleCRM workflow.</w:t>
      </w:r>
    </w:p>
    <w:p w14:paraId="221A3DE0">
      <w:pPr>
        <w:pStyle w:val="23"/>
        <w:spacing w:after="20" w:line="240" w:lineRule="auto"/>
      </w:pPr>
      <w:r>
        <w:t>Workflow-first option: n8n for scheduling and routing, with a small Python script for cleaning or extraction.</w:t>
      </w:r>
    </w:p>
    <w:p w14:paraId="59A77697">
      <w:pPr>
        <w:pStyle w:val="23"/>
        <w:spacing w:after="20" w:line="240" w:lineRule="auto"/>
      </w:pPr>
      <w:r>
        <w:t>Production option: FastAPI + PostgreSQL/SQLAlchemy + scheduled worker + source-specific connectors + TeleCRM integration + monitoring.</w:t>
      </w:r>
    </w:p>
    <w:p w14:paraId="5C70EF9C">
      <w:pPr>
        <w:pStyle w:val="23"/>
        <w:spacing w:after="20" w:line="240" w:lineRule="auto"/>
      </w:pPr>
      <w:r>
        <w:t>Do not add a vector database or LLM just to collect leads. Add AI only if it materially improves business-category matching, lead summaries or prioritization.</w:t>
      </w:r>
    </w:p>
    <w:p w14:paraId="589E5888">
      <w:pPr>
        <w:pStyle w:val="2"/>
        <w:spacing w:before="140" w:after="60"/>
      </w:pPr>
      <w:r>
        <w:t>5. Lead scoring and review</w:t>
      </w:r>
    </w:p>
    <w:p w14:paraId="557FA6FC">
      <w:r>
        <w:t>A simple score helps the sales team focus on relevant leads. Start with transparent rules and allow a person to review uncertain records.</w:t>
      </w:r>
    </w:p>
    <w:p w14:paraId="36F89AE3">
      <w:pPr>
        <w:pStyle w:val="23"/>
        <w:spacing w:after="20" w:line="240" w:lineRule="auto"/>
      </w:pPr>
      <w:r>
        <w:t>Target match: business category fits GemLab's chosen customer or partner type.</w:t>
      </w:r>
    </w:p>
    <w:p w14:paraId="1FDCFCC8">
      <w:pPr>
        <w:pStyle w:val="23"/>
        <w:spacing w:after="20" w:line="240" w:lineRule="auto"/>
      </w:pPr>
      <w:r>
        <w:t>Location match: city or region is within the agreed sales area.</w:t>
      </w:r>
    </w:p>
    <w:p w14:paraId="14950994">
      <w:pPr>
        <w:pStyle w:val="23"/>
        <w:spacing w:after="20" w:line="240" w:lineRule="auto"/>
      </w:pPr>
      <w:r>
        <w:t>Data quality: business name and source are present; contact field is correctly formatted.</w:t>
      </w:r>
    </w:p>
    <w:p w14:paraId="2BFEFD1C">
      <w:pPr>
        <w:pStyle w:val="23"/>
        <w:spacing w:after="20" w:line="240" w:lineRule="auto"/>
      </w:pPr>
      <w:r>
        <w:t>Freshness: source is recent enough for the business use case.</w:t>
      </w:r>
    </w:p>
    <w:p w14:paraId="7DD49896">
      <w:pPr>
        <w:pStyle w:val="23"/>
        <w:spacing w:after="20" w:line="240" w:lineRule="auto"/>
      </w:pPr>
      <w:r>
        <w:t>Review flag: mark uncertain, duplicate or restricted records instead of automatically contacting them.</w:t>
      </w:r>
    </w:p>
    <w:p w14:paraId="24D5A5C9">
      <w:pPr>
        <w:pStyle w:val="2"/>
        <w:spacing w:before="140" w:after="60"/>
      </w:pPr>
      <w:r>
        <w:t>6. TeleCRM integration flow</w:t>
      </w:r>
    </w:p>
    <w:p w14:paraId="19BBF521">
      <w:pPr>
        <w:pStyle w:val="23"/>
        <w:spacing w:after="20" w:line="240" w:lineRule="auto"/>
      </w:pPr>
      <w:r>
        <w:t>Confirm TeleCRM API access, authentication and permitted create/update actions.</w:t>
      </w:r>
    </w:p>
    <w:p w14:paraId="75844817">
      <w:pPr>
        <w:pStyle w:val="23"/>
        <w:spacing w:after="20" w:line="240" w:lineRule="auto"/>
      </w:pPr>
      <w:r>
        <w:t>Map the fields to TeleCRM's actual schema; do not assume endpoint names or payloads.</w:t>
      </w:r>
    </w:p>
    <w:p w14:paraId="60E61B4B">
      <w:pPr>
        <w:pStyle w:val="23"/>
        <w:spacing w:after="20" w:line="240" w:lineRule="auto"/>
      </w:pPr>
      <w:r>
        <w:t>Search for an existing lead before creating a new one to reduce duplicates.</w:t>
      </w:r>
    </w:p>
    <w:p w14:paraId="4E48DEC3">
      <w:pPr>
        <w:pStyle w:val="23"/>
        <w:spacing w:after="20" w:line="240" w:lineRule="auto"/>
      </w:pPr>
      <w:r>
        <w:t>Save source URL, date collected, category, city, review status and contact-permission status where supported.</w:t>
      </w:r>
    </w:p>
    <w:p w14:paraId="3597C3F0">
      <w:pPr>
        <w:pStyle w:val="23"/>
        <w:spacing w:after="20" w:line="240" w:lineRule="auto"/>
      </w:pPr>
      <w:r>
        <w:t>Use a test pipeline first; log success/failure and retry temporary errors safely.</w:t>
      </w:r>
    </w:p>
    <w:p w14:paraId="5C6FFD93">
      <w:pPr>
        <w:pStyle w:val="23"/>
        <w:spacing w:after="20" w:line="240" w:lineRule="auto"/>
      </w:pPr>
      <w:r>
        <w:t>Let the sales team review and approve leads before outreach during the pilot.</w:t>
      </w:r>
    </w:p>
    <w:p w14:paraId="47AF0E69">
      <w:pPr>
        <w:pStyle w:val="2"/>
        <w:spacing w:before="140" w:after="60"/>
      </w:pPr>
      <w:r>
        <w:t>7. Compliance, privacy and safe collection</w:t>
      </w:r>
    </w:p>
    <w:p w14:paraId="35E01B6E">
      <w:pPr>
        <w:pStyle w:val="23"/>
        <w:spacing w:after="20" w:line="240" w:lineRule="auto"/>
      </w:pPr>
      <w:r>
        <w:t>Use official APIs, licensed providers or public pages whose terms permit the intended collection.</w:t>
      </w:r>
    </w:p>
    <w:p w14:paraId="5B11C20B">
      <w:pPr>
        <w:pStyle w:val="23"/>
        <w:spacing w:after="20" w:line="240" w:lineRule="auto"/>
      </w:pPr>
      <w:r>
        <w:t>Respect robots.txt where applicable, terms of service, rate limits and access restrictions.</w:t>
      </w:r>
    </w:p>
    <w:p w14:paraId="2AD70E4B">
      <w:pPr>
        <w:pStyle w:val="23"/>
        <w:spacing w:after="20" w:line="240" w:lineRule="auto"/>
      </w:pPr>
      <w:r>
        <w:t>Do not bypass logins, CAPTCHAs, paywalls or technical controls.</w:t>
      </w:r>
    </w:p>
    <w:p w14:paraId="0C3E53F5">
      <w:pPr>
        <w:pStyle w:val="23"/>
        <w:spacing w:after="20" w:line="240" w:lineRule="auto"/>
      </w:pPr>
      <w:r>
        <w:t>Prefer business contact details published for business enquiries; avoid harvesting private personal details.</w:t>
      </w:r>
    </w:p>
    <w:p w14:paraId="18E55D51">
      <w:pPr>
        <w:pStyle w:val="23"/>
        <w:spacing w:after="20" w:line="240" w:lineRule="auto"/>
      </w:pPr>
      <w:r>
        <w:t>Public visibility does not automatically mean marketing consent. Confirm the lawful basis and channel rules before outreach.</w:t>
      </w:r>
    </w:p>
    <w:p w14:paraId="389E083A">
      <w:pPr>
        <w:pStyle w:val="23"/>
        <w:spacing w:after="20" w:line="240" w:lineRule="auto"/>
      </w:pPr>
      <w:r>
        <w:t>Honor opt-outs and suppression lists; keep only the data needed for the business purpose.</w:t>
      </w:r>
    </w:p>
    <w:p w14:paraId="0C5A776C">
      <w:pPr>
        <w:pStyle w:val="23"/>
        <w:spacing w:after="20" w:line="240" w:lineRule="auto"/>
      </w:pPr>
      <w:r>
        <w:t>Protect API keys and customer data; restrict access and define retention periods.</w:t>
      </w:r>
    </w:p>
    <w:p w14:paraId="65B2A2FA">
      <w:pPr>
        <w:pStyle w:val="2"/>
        <w:spacing w:before="140" w:after="60"/>
      </w:pPr>
      <w:r>
        <w:t>8. Implementation plan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7632"/>
      </w:tblGrid>
      <w:tr w14:paraId="28F47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EAF2F8"/>
          </w:tcPr>
          <w:p w14:paraId="3DDD0D4F">
            <w:pPr>
              <w:spacing w:before="20" w:after="20"/>
            </w:pPr>
            <w:r>
              <w:rPr>
                <w:rFonts w:ascii="Aptos" w:hAnsi="Aptos"/>
                <w:b/>
                <w:color w:val="12283F"/>
                <w:sz w:val="17"/>
              </w:rPr>
              <w:t>Phase 1 — Define</w:t>
            </w:r>
          </w:p>
        </w:tc>
        <w:tc>
          <w:tcPr>
            <w:tcW w:w="7632" w:type="dxa"/>
          </w:tcPr>
          <w:p w14:paraId="32477B04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7"/>
              </w:rPr>
              <w:t>Choose lead type, target cities, permitted sources and required fields.</w:t>
            </w:r>
          </w:p>
        </w:tc>
      </w:tr>
      <w:tr w14:paraId="629F1E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EAF2F8"/>
          </w:tcPr>
          <w:p w14:paraId="71942093">
            <w:pPr>
              <w:spacing w:before="20" w:after="20"/>
            </w:pPr>
            <w:r>
              <w:rPr>
                <w:rFonts w:ascii="Aptos" w:hAnsi="Aptos"/>
                <w:b/>
                <w:color w:val="12283F"/>
                <w:sz w:val="17"/>
              </w:rPr>
              <w:t>Phase 2 — Source test</w:t>
            </w:r>
          </w:p>
        </w:tc>
        <w:tc>
          <w:tcPr>
            <w:tcW w:w="7632" w:type="dxa"/>
          </w:tcPr>
          <w:p w14:paraId="4F27B5D3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7"/>
              </w:rPr>
              <w:t>Test one source and confirm its terms, data quality and collection method.</w:t>
            </w:r>
          </w:p>
        </w:tc>
      </w:tr>
      <w:tr w14:paraId="0579BA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EAF2F8"/>
          </w:tcPr>
          <w:p w14:paraId="0E6BF6D6">
            <w:pPr>
              <w:spacing w:before="20" w:after="20"/>
            </w:pPr>
            <w:r>
              <w:rPr>
                <w:rFonts w:ascii="Aptos" w:hAnsi="Aptos"/>
                <w:b/>
                <w:color w:val="12283F"/>
                <w:sz w:val="17"/>
              </w:rPr>
              <w:t>Phase 3 — Clean</w:t>
            </w:r>
          </w:p>
        </w:tc>
        <w:tc>
          <w:tcPr>
            <w:tcW w:w="7632" w:type="dxa"/>
          </w:tcPr>
          <w:p w14:paraId="2F02387E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7"/>
              </w:rPr>
              <w:t>Normalize data, deduplicate, validate fields and add source tracking.</w:t>
            </w:r>
          </w:p>
        </w:tc>
      </w:tr>
      <w:tr w14:paraId="063E2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EAF2F8"/>
          </w:tcPr>
          <w:p w14:paraId="58734859">
            <w:pPr>
              <w:spacing w:before="20" w:after="20"/>
            </w:pPr>
            <w:r>
              <w:rPr>
                <w:rFonts w:ascii="Aptos" w:hAnsi="Aptos"/>
                <w:b/>
                <w:color w:val="12283F"/>
                <w:sz w:val="17"/>
              </w:rPr>
              <w:t>Phase 4 — Review</w:t>
            </w:r>
          </w:p>
        </w:tc>
        <w:tc>
          <w:tcPr>
            <w:tcW w:w="7632" w:type="dxa"/>
          </w:tcPr>
          <w:p w14:paraId="5B6BD62B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7"/>
              </w:rPr>
              <w:t>Score sample leads and have sales staff approve quality.</w:t>
            </w:r>
          </w:p>
        </w:tc>
      </w:tr>
      <w:tr w14:paraId="466737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EAF2F8"/>
          </w:tcPr>
          <w:p w14:paraId="3B947E27">
            <w:pPr>
              <w:spacing w:before="20" w:after="20"/>
            </w:pPr>
            <w:r>
              <w:rPr>
                <w:rFonts w:ascii="Aptos" w:hAnsi="Aptos"/>
                <w:b/>
                <w:color w:val="12283F"/>
                <w:sz w:val="17"/>
              </w:rPr>
              <w:t>Phase 5 — TeleCRM</w:t>
            </w:r>
          </w:p>
        </w:tc>
        <w:tc>
          <w:tcPr>
            <w:tcW w:w="7632" w:type="dxa"/>
          </w:tcPr>
          <w:p w14:paraId="0194BBF0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7"/>
              </w:rPr>
              <w:t>Map fields and connect a supported API/workflow in a test pipeline.</w:t>
            </w:r>
          </w:p>
        </w:tc>
      </w:tr>
      <w:tr w14:paraId="32C74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EAF2F8"/>
          </w:tcPr>
          <w:p w14:paraId="61EC1E55">
            <w:pPr>
              <w:spacing w:before="20" w:after="20"/>
            </w:pPr>
            <w:r>
              <w:rPr>
                <w:rFonts w:ascii="Aptos" w:hAnsi="Aptos"/>
                <w:b/>
                <w:color w:val="12283F"/>
                <w:sz w:val="17"/>
              </w:rPr>
              <w:t>Phase 6 — Pilot</w:t>
            </w:r>
          </w:p>
        </w:tc>
        <w:tc>
          <w:tcPr>
            <w:tcW w:w="7632" w:type="dxa"/>
          </w:tcPr>
          <w:p w14:paraId="54E97306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7"/>
              </w:rPr>
              <w:t>Run on a small batch, measure errors and lead quality, then scale gradually.</w:t>
            </w:r>
          </w:p>
        </w:tc>
      </w:tr>
    </w:tbl>
    <w:p w14:paraId="0EB3067D">
      <w:pPr>
        <w:pStyle w:val="2"/>
        <w:spacing w:before="140" w:after="60"/>
      </w:pPr>
      <w:r>
        <w:t>9. Success metrics</w:t>
      </w:r>
    </w:p>
    <w:p w14:paraId="6483A308">
      <w:pPr>
        <w:pStyle w:val="23"/>
        <w:spacing w:after="20" w:line="240" w:lineRule="auto"/>
      </w:pPr>
      <w:r>
        <w:t>Relevant leads collected per day/week.</w:t>
      </w:r>
    </w:p>
    <w:p w14:paraId="1A4A46C5">
      <w:pPr>
        <w:pStyle w:val="23"/>
        <w:spacing w:after="20" w:line="240" w:lineRule="auto"/>
      </w:pPr>
      <w:r>
        <w:t>Percentage of records with complete, valid business fields.</w:t>
      </w:r>
    </w:p>
    <w:p w14:paraId="00B9AD87">
      <w:pPr>
        <w:pStyle w:val="23"/>
        <w:spacing w:after="20" w:line="240" w:lineRule="auto"/>
      </w:pPr>
      <w:r>
        <w:t>Duplicate rate and invalid-contact rate.</w:t>
      </w:r>
    </w:p>
    <w:p w14:paraId="47999C56">
      <w:pPr>
        <w:pStyle w:val="23"/>
        <w:spacing w:after="20" w:line="240" w:lineRule="auto"/>
      </w:pPr>
      <w:r>
        <w:t>Percentage of leads accepted by the sales team.</w:t>
      </w:r>
    </w:p>
    <w:p w14:paraId="6D72C7D8">
      <w:pPr>
        <w:pStyle w:val="23"/>
        <w:spacing w:after="20" w:line="240" w:lineRule="auto"/>
      </w:pPr>
      <w:r>
        <w:t>Time saved compared with manual searching.</w:t>
      </w:r>
    </w:p>
    <w:p w14:paraId="1D8CD48F">
      <w:pPr>
        <w:pStyle w:val="23"/>
        <w:spacing w:after="20" w:line="240" w:lineRule="auto"/>
      </w:pPr>
      <w:r>
        <w:t>Contact-to-reply, qualified-lead and conversion rates, measured only where tracking is permitted.</w:t>
      </w:r>
    </w:p>
    <w:p w14:paraId="13022157">
      <w:pPr>
        <w:pStyle w:val="2"/>
        <w:spacing w:before="140" w:after="60"/>
      </w:pPr>
      <w:r>
        <w:t>10. Decisions needed from GemLab</w:t>
      </w:r>
    </w:p>
    <w:p w14:paraId="2198AA6F">
      <w:pPr>
        <w:pStyle w:val="23"/>
        <w:spacing w:after="20" w:line="240" w:lineRule="auto"/>
      </w:pPr>
      <w:r>
        <w:t>Which leads are the priority: jewellery shops, gemstone retailers, franchise partners, or individual buyers?</w:t>
      </w:r>
    </w:p>
    <w:p w14:paraId="13BDB9AC">
      <w:pPr>
        <w:pStyle w:val="23"/>
        <w:spacing w:after="20" w:line="240" w:lineRule="auto"/>
      </w:pPr>
      <w:r>
        <w:t>Which cities or regions should be covered first?</w:t>
      </w:r>
    </w:p>
    <w:p w14:paraId="4D666BCC">
      <w:pPr>
        <w:pStyle w:val="23"/>
        <w:spacing w:after="20" w:line="240" w:lineRule="auto"/>
      </w:pPr>
      <w:r>
        <w:t>Which data sources are approved for collection?</w:t>
      </w:r>
    </w:p>
    <w:p w14:paraId="5ADBF49D">
      <w:pPr>
        <w:pStyle w:val="23"/>
        <w:spacing w:after="20" w:line="240" w:lineRule="auto"/>
      </w:pPr>
      <w:r>
        <w:t>Which fields should be mandatory in TeleCRM?</w:t>
      </w:r>
    </w:p>
    <w:p w14:paraId="3779FE9C">
      <w:pPr>
        <w:pStyle w:val="23"/>
        <w:spacing w:after="20" w:line="240" w:lineRule="auto"/>
      </w:pPr>
      <w:r>
        <w:t>Who reviews lead quality and approves outreach?</w:t>
      </w:r>
    </w:p>
    <w:p w14:paraId="63C0966E">
      <w:pPr>
        <w:pStyle w:val="23"/>
        <w:spacing w:after="20" w:line="240" w:lineRule="auto"/>
      </w:pPr>
      <w:r>
        <w:t>Which TeleCRM actions and reporting fields are available in the current account?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4"/>
      </w:tblGrid>
      <w:tr w14:paraId="2FAE7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4" w:type="dxa"/>
            <w:shd w:val="clear" w:color="auto" w:fill="DDF2EB"/>
          </w:tcPr>
          <w:p w14:paraId="6A3BAB51">
            <w:pPr>
              <w:spacing w:before="20" w:after="20"/>
            </w:pPr>
            <w:r>
              <w:rPr>
                <w:rFonts w:ascii="Aptos" w:hAnsi="Aptos"/>
                <w:b w:val="0"/>
                <w:color w:val="12283F"/>
                <w:sz w:val="18"/>
              </w:rPr>
              <w:t>RECOMMENDED FIRST VERSION</w:t>
            </w:r>
            <w:r>
              <w:rPr>
                <w:rFonts w:ascii="Aptos" w:hAnsi="Aptos"/>
                <w:b w:val="0"/>
                <w:color w:val="12283F"/>
                <w:sz w:val="18"/>
              </w:rPr>
              <w:br w:type="textWrapping"/>
            </w:r>
            <w:r>
              <w:rPr>
                <w:rFonts w:ascii="Aptos" w:hAnsi="Aptos"/>
                <w:b w:val="0"/>
                <w:color w:val="12283F"/>
                <w:sz w:val="18"/>
              </w:rPr>
              <w:t>Start with one permitted business directory or licensed data source, collect a small sample, clean and review it, then push approved leads into a TeleCRM test workflow. Expand only after source permission, data quality and CRM integration are confirmed.</w:t>
            </w:r>
          </w:p>
        </w:tc>
      </w:tr>
    </w:tbl>
    <w:p w14:paraId="361443CB"/>
    <w:sectPr>
      <w:headerReference r:id="rId5" w:type="default"/>
      <w:footerReference r:id="rId6" w:type="default"/>
      <w:pgSz w:w="12240" w:h="15840"/>
      <w:pgMar w:top="691" w:right="893" w:bottom="691" w:left="89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6219C8">
    <w:pPr>
      <w:pStyle w:val="16"/>
      <w:jc w:val="center"/>
    </w:pPr>
    <w:r>
      <w:t>Proposed architecture • Verify source and account permissions before launch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4D191E">
    <w:pPr>
      <w:pStyle w:val="16"/>
    </w:pPr>
    <w:r>
      <w:t>GEMLAB  |  AUTOMATED LEAD DISCOVERY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FD1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76" w:lineRule="auto"/>
    </w:pPr>
    <w:rPr>
      <w:rFonts w:ascii="Aptos" w:hAnsi="Aptos" w:eastAsiaTheme="minorEastAsia" w:cstheme="minorBidi"/>
      <w:color w:val="203247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100" w:after="60"/>
      <w:outlineLvl w:val="0"/>
    </w:pPr>
    <w:rPr>
      <w:rFonts w:asciiTheme="majorHAnsi" w:hAnsiTheme="majorHAnsi" w:eastAsiaTheme="majorEastAsia" w:cstheme="majorBidi"/>
      <w:b/>
      <w:bCs/>
      <w:color w:val="12283F"/>
      <w:sz w:val="3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100" w:after="60"/>
      <w:outlineLvl w:val="1"/>
    </w:pPr>
    <w:rPr>
      <w:rFonts w:asciiTheme="majorHAnsi" w:hAnsiTheme="majorHAnsi" w:eastAsiaTheme="majorEastAsia" w:cstheme="majorBidi"/>
      <w:b/>
      <w:bCs/>
      <w:color w:val="12283F"/>
      <w:sz w:val="22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100" w:after="60" w:line="240" w:lineRule="auto"/>
      <w:contextualSpacing/>
    </w:pPr>
    <w:rPr>
      <w:rFonts w:asciiTheme="majorHAnsi" w:hAnsiTheme="majorHAnsi" w:eastAsiaTheme="majorEastAsia" w:cstheme="majorBidi"/>
      <w:b/>
      <w:color w:val="12283F"/>
      <w:spacing w:val="5"/>
      <w:kern w:val="28"/>
      <w:sz w:val="46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Shivam Singh</cp:lastModifiedBy>
  <dcterms:modified xsi:type="dcterms:W3CDTF">2026-10-27T03:47:05Z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eyJoZGlkIjoiOTA2OTFlY2FhZTg4YjA1NDZmYzAyZTU3Mjg2MzhlNTIiLCJ1c2VySWQiOiI1Njc0MzYxMzc4NjQifQ==</vt:lpwstr>
  </property>
  <property fmtid="{D5CDD505-2E9C-101B-9397-08002B2CF9AE}" pid="3" name="KSOProductBuildVer">
    <vt:lpwstr>1033-12.1.0.28099</vt:lpwstr>
  </property>
  <property fmtid="{D5CDD505-2E9C-101B-9397-08002B2CF9AE}" pid="4" name="ICV">
    <vt:lpwstr>FB5E75C1755946B58DCD973773E37BC0_12</vt:lpwstr>
  </property>
</Properties>
</file>