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4"/>
        </w:rPr>
        <w:t>PROJECT OVERALL REPORT</w:t>
      </w:r>
    </w:p>
    <w:p>
      <w:pPr>
        <w:spacing w:before="0" w:after="240"/>
      </w:pPr>
      <w:r>
        <w:rPr>
          <w:rFonts w:ascii="Calibri" w:hAnsi="Calibri"/>
          <w:b/>
          <w:color w:val="2563EB"/>
          <w:sz w:val="24"/>
        </w:rPr>
        <w:t>Expense Tracker with Smart Insighter — AI/ML Financial Intelligence &amp; Analytics System</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2520"/>
        <w:gridCol w:w="2520"/>
        <w:gridCol w:w="2520"/>
        <w:gridCol w:w="2520"/>
      </w:tblGrid>
      <w:tr>
        <w:tc>
          <w:tcPr>
            <w:tcW w:type="dxa" w:w="1728"/>
            <w:shd w:fill="F8FAFC"/>
            <w:tcMar>
              <w:top w:w="60" w:type="dxa"/>
              <w:bottom w:w="60" w:type="dxa"/>
              <w:left w:w="100" w:type="dxa"/>
              <w:right w:w="100" w:type="dxa"/>
            </w:tcMar>
          </w:tcPr>
          <w:p>
            <w:pPr>
              <w:spacing w:after="0" w:line="240" w:lineRule="auto"/>
            </w:pPr>
            <w:r>
              <w:rPr>
                <w:b/>
                <w:color w:val="1E293B"/>
                <w:sz w:val="19"/>
              </w:rPr>
              <w:t>Project Title:</w:t>
            </w:r>
          </w:p>
        </w:tc>
        <w:tc>
          <w:tcPr>
            <w:tcW w:type="dxa" w:w="3312"/>
            <w:shd w:fill="FFFFFF"/>
            <w:tcMar>
              <w:top w:w="60" w:type="dxa"/>
              <w:bottom w:w="60" w:type="dxa"/>
              <w:left w:w="100" w:type="dxa"/>
              <w:right w:w="100" w:type="dxa"/>
            </w:tcMar>
          </w:tcPr>
          <w:p>
            <w:pPr>
              <w:spacing w:after="0" w:line="240" w:lineRule="auto"/>
            </w:pPr>
            <w:r>
              <w:rPr>
                <w:color w:val="475569"/>
                <w:sz w:val="19"/>
              </w:rPr>
              <w:t>Expense Tracker with Smart Insighter</w:t>
            </w:r>
          </w:p>
        </w:tc>
        <w:tc>
          <w:tcPr>
            <w:tcW w:type="dxa" w:w="1584"/>
            <w:shd w:fill="F8FAFC"/>
            <w:tcMar>
              <w:top w:w="60" w:type="dxa"/>
              <w:bottom w:w="60" w:type="dxa"/>
              <w:left w:w="100" w:type="dxa"/>
              <w:right w:w="100" w:type="dxa"/>
            </w:tcMar>
          </w:tcPr>
          <w:p>
            <w:pPr>
              <w:spacing w:after="0" w:line="240" w:lineRule="auto"/>
            </w:pPr>
            <w:r>
              <w:rPr>
                <w:b/>
                <w:color w:val="1E293B"/>
                <w:sz w:val="19"/>
              </w:rPr>
              <w:t>Date:</w:t>
            </w:r>
          </w:p>
        </w:tc>
        <w:tc>
          <w:tcPr>
            <w:tcW w:type="dxa" w:w="3456"/>
            <w:shd w:fill="FFFFFF"/>
            <w:tcMar>
              <w:top w:w="60" w:type="dxa"/>
              <w:bottom w:w="60" w:type="dxa"/>
              <w:left w:w="100" w:type="dxa"/>
              <w:right w:w="100" w:type="dxa"/>
            </w:tcMar>
          </w:tcPr>
          <w:p>
            <w:pPr>
              <w:spacing w:after="0" w:line="240" w:lineRule="auto"/>
            </w:pPr>
            <w:r>
              <w:rPr>
                <w:color w:val="475569"/>
                <w:sz w:val="19"/>
              </w:rPr>
              <w:t>September 25, 2026</w:t>
            </w:r>
          </w:p>
        </w:tc>
      </w:tr>
      <w:tr>
        <w:tc>
          <w:tcPr>
            <w:tcW w:type="dxa" w:w="1728"/>
            <w:shd w:fill="F8FAFC"/>
            <w:tcMar>
              <w:top w:w="60" w:type="dxa"/>
              <w:bottom w:w="60" w:type="dxa"/>
              <w:left w:w="100" w:type="dxa"/>
              <w:right w:w="100" w:type="dxa"/>
            </w:tcMar>
          </w:tcPr>
          <w:p>
            <w:pPr>
              <w:spacing w:after="0" w:line="240" w:lineRule="auto"/>
            </w:pPr>
            <w:r>
              <w:rPr>
                <w:b/>
                <w:color w:val="1E293B"/>
                <w:sz w:val="19"/>
              </w:rPr>
              <w:t>Prepared By:</w:t>
            </w:r>
          </w:p>
        </w:tc>
        <w:tc>
          <w:tcPr>
            <w:tcW w:type="dxa" w:w="3312"/>
            <w:shd w:fill="FFFFFF"/>
            <w:tcMar>
              <w:top w:w="60" w:type="dxa"/>
              <w:bottom w:w="60" w:type="dxa"/>
              <w:left w:w="100" w:type="dxa"/>
              <w:right w:w="100" w:type="dxa"/>
            </w:tcMar>
          </w:tcPr>
          <w:p>
            <w:pPr>
              <w:spacing w:after="0" w:line="240" w:lineRule="auto"/>
            </w:pPr>
            <w:r>
              <w:rPr>
                <w:color w:val="475569"/>
                <w:sz w:val="19"/>
              </w:rPr>
              <w:t>Shubham Kumar Singh</w:t>
            </w:r>
          </w:p>
        </w:tc>
        <w:tc>
          <w:tcPr>
            <w:tcW w:type="dxa" w:w="1584"/>
            <w:shd w:fill="F8FAFC"/>
            <w:tcMar>
              <w:top w:w="60" w:type="dxa"/>
              <w:bottom w:w="60" w:type="dxa"/>
              <w:left w:w="100" w:type="dxa"/>
              <w:right w:w="100" w:type="dxa"/>
            </w:tcMar>
          </w:tcPr>
          <w:p>
            <w:pPr>
              <w:spacing w:after="0" w:line="240" w:lineRule="auto"/>
            </w:pPr>
            <w:r>
              <w:rPr>
                <w:b/>
                <w:color w:val="1E293B"/>
                <w:sz w:val="19"/>
              </w:rPr>
              <w:t>Architecture:</w:t>
            </w:r>
          </w:p>
        </w:tc>
        <w:tc>
          <w:tcPr>
            <w:tcW w:type="dxa" w:w="3456"/>
            <w:shd w:fill="FFFFFF"/>
            <w:tcMar>
              <w:top w:w="60" w:type="dxa"/>
              <w:bottom w:w="60" w:type="dxa"/>
              <w:left w:w="100" w:type="dxa"/>
              <w:right w:w="100" w:type="dxa"/>
            </w:tcMar>
          </w:tcPr>
          <w:p>
            <w:pPr>
              <w:spacing w:after="0" w:line="240" w:lineRule="auto"/>
            </w:pPr>
            <w:r>
              <w:rPr>
                <w:color w:val="475569"/>
                <w:sz w:val="19"/>
              </w:rPr>
              <w:t>FastAPI + React 18 + Scikit-Learn</w:t>
            </w:r>
          </w:p>
        </w:tc>
      </w:tr>
    </w:tbl>
    <w:p>
      <w:pPr>
        <w:spacing w:after="160"/>
      </w:pPr>
    </w:p>
    <w:p>
      <w:pPr>
        <w:keepNext/>
        <w:spacing w:before="280" w:after="80"/>
      </w:pPr>
      <w:r>
        <w:rPr>
          <w:rFonts w:ascii="Calibri" w:hAnsi="Calibri"/>
          <w:b/>
          <w:color w:val="0F172A"/>
          <w:sz w:val="28"/>
        </w:rPr>
        <w:t>1. Executive Summary</w:t>
      </w:r>
    </w:p>
    <w:p>
      <w:r>
        <w:t>Expense Tracker with Smart Insighter is an enterprise-grade, full-stack personal finance intelligence system designed to transform personal money management from passive, retroactive bookkeeping into an active, proactive financial advisory platform. Built with FastAPI (Python) on the backend and React 18 (Vite) on the frontend, the platform natively integrates machine learning models (Natural Language Processing, Isolation Forest Outlier Detection, Time-Series Velocity Regression, and K-Means Behavioral Clustering) within a sleek dark-mode glassmorphic interface.</w:t>
      </w:r>
    </w:p>
    <w:p>
      <w:pPr>
        <w:keepNext/>
        <w:spacing w:before="280" w:after="80"/>
      </w:pPr>
      <w:r>
        <w:rPr>
          <w:rFonts w:ascii="Calibri" w:hAnsi="Calibri"/>
          <w:b/>
          <w:color w:val="0F172A"/>
          <w:sz w:val="28"/>
        </w:rPr>
        <w:t>2. Motivation &amp; Problem Statement (The 'Why')</w:t>
      </w:r>
    </w:p>
    <w:p>
      <w:r>
        <w:t>Most existing personal finance trackers operate as digital notebooks that record past actions without delivering contextual foresight. The primary industry pain points resolved by this platform include:</w:t>
      </w:r>
    </w:p>
    <w:p>
      <w:pPr>
        <w:pStyle w:val="ListBullet"/>
        <w:spacing w:before="0" w:after="40"/>
      </w:pPr>
      <w:r>
        <w:rPr>
          <w:b/>
          <w:color w:val="0F172A"/>
        </w:rPr>
        <w:t xml:space="preserve">High Manual Friction &amp; Tracking Fatigue: </w:t>
      </w:r>
      <w:r>
        <w:rPr>
          <w:color w:val="334155"/>
        </w:rPr>
        <w:t>Manual entry and category tagging for every purchase lead to user drop-off. Smart Insighter automates ingestion via NLP classification.</w:t>
      </w:r>
    </w:p>
    <w:p>
      <w:pPr>
        <w:pStyle w:val="ListBullet"/>
        <w:spacing w:before="0" w:after="40"/>
      </w:pPr>
      <w:r>
        <w:rPr>
          <w:b/>
          <w:color w:val="0F172A"/>
        </w:rPr>
        <w:t xml:space="preserve">Absence of Predictive Foresight: </w:t>
      </w:r>
      <w:r>
        <w:rPr>
          <w:color w:val="334155"/>
        </w:rPr>
        <w:t>Traditional retroactive charts show overspending after it occurs. Smart Insighter projects month-end balances 10–15 days in advance using velocity modeling.</w:t>
      </w:r>
    </w:p>
    <w:p>
      <w:pPr>
        <w:pStyle w:val="ListBullet"/>
        <w:spacing w:before="0" w:after="40"/>
      </w:pPr>
      <w:r>
        <w:rPr>
          <w:b/>
          <w:color w:val="0F172A"/>
        </w:rPr>
        <w:t xml:space="preserve">Hidden Subscription Creep: </w:t>
      </w:r>
      <w:r>
        <w:rPr>
          <w:color w:val="334155"/>
        </w:rPr>
        <w:t>Recurring services (streaming, gym, SaaS) often raise prices without clear warnings. Smart Insighter actively tracks recurring cycles and price inflation.</w:t>
      </w:r>
    </w:p>
    <w:p>
      <w:pPr>
        <w:pStyle w:val="ListBullet"/>
        <w:spacing w:before="0" w:after="40"/>
      </w:pPr>
      <w:r>
        <w:rPr>
          <w:b/>
          <w:color w:val="0F172A"/>
        </w:rPr>
        <w:t xml:space="preserve">Unidentified Spending Anomalies: </w:t>
      </w:r>
      <w:r>
        <w:rPr>
          <w:color w:val="334155"/>
        </w:rPr>
        <w:t>Spikes from accidental duplicate transactions or billing errors get lost in large spreadsheets. The Isolation Forest radar isolates statistical outliers in real time.</w:t>
      </w:r>
    </w:p>
    <w:p>
      <w:pPr>
        <w:pStyle w:val="ListBullet"/>
        <w:spacing w:before="0" w:after="40"/>
      </w:pPr>
      <w:r>
        <w:rPr>
          <w:b/>
          <w:color w:val="0F172A"/>
        </w:rPr>
        <w:t xml:space="preserve">Lack of System-Wide Governance: </w:t>
      </w:r>
      <w:r>
        <w:rPr>
          <w:color w:val="334155"/>
        </w:rPr>
        <w:t>Administrators lack high-level visibility into user engagement and gross platform volume. The platform features an Administrator Oversight Portal for centralized telemetry.</w:t>
      </w:r>
    </w:p>
    <w:p>
      <w:pPr>
        <w:keepNext/>
        <w:spacing w:before="280" w:after="80"/>
      </w:pPr>
      <w:r>
        <w:rPr>
          <w:rFonts w:ascii="Calibri" w:hAnsi="Calibri"/>
          <w:b/>
          <w:color w:val="0F172A"/>
          <w:sz w:val="28"/>
        </w:rPr>
        <w:t>3. System Architecture &amp; Technical Stack (The 'How')</w:t>
      </w:r>
    </w:p>
    <w:p>
      <w:r>
        <w:t>The platform utilizes a modern decoupled client-server architecture with high-performance asynchronous endpoints and dedicated machine learning service layers: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2160"/>
            <w:shd w:fill="1E293B"/>
            <w:tcMar>
              <w:top w:w="80" w:type="dxa"/>
              <w:bottom w:w="80" w:type="dxa"/>
              <w:left w:w="120" w:type="dxa"/>
              <w:right w:w="120" w:type="dxa"/>
            </w:tcMar>
          </w:tcPr>
          <w:p>
            <w:pPr>
              <w:spacing w:after="0"/>
            </w:pPr>
            <w:r>
              <w:rPr>
                <w:b/>
                <w:color w:val="FFFFFF"/>
                <w:sz w:val="19"/>
              </w:rPr>
              <w:t>Layer</w:t>
            </w:r>
          </w:p>
        </w:tc>
        <w:tc>
          <w:tcPr>
            <w:tcW w:type="dxa" w:w="2880"/>
            <w:shd w:fill="1E293B"/>
            <w:tcMar>
              <w:top w:w="80" w:type="dxa"/>
              <w:bottom w:w="80" w:type="dxa"/>
              <w:left w:w="120" w:type="dxa"/>
              <w:right w:w="120" w:type="dxa"/>
            </w:tcMar>
          </w:tcPr>
          <w:p>
            <w:pPr>
              <w:spacing w:after="0"/>
            </w:pPr>
            <w:r>
              <w:rPr>
                <w:b/>
                <w:color w:val="FFFFFF"/>
                <w:sz w:val="19"/>
              </w:rPr>
              <w:t>Technology</w:t>
            </w:r>
          </w:p>
        </w:tc>
        <w:tc>
          <w:tcPr>
            <w:tcW w:type="dxa" w:w="5040"/>
            <w:shd w:fill="1E293B"/>
            <w:tcMar>
              <w:top w:w="80" w:type="dxa"/>
              <w:bottom w:w="80" w:type="dxa"/>
              <w:left w:w="120" w:type="dxa"/>
              <w:right w:w="120" w:type="dxa"/>
            </w:tcMar>
          </w:tcPr>
          <w:p>
            <w:pPr>
              <w:spacing w:after="0"/>
            </w:pPr>
            <w:r>
              <w:rPr>
                <w:b/>
                <w:color w:val="FFFFFF"/>
                <w:sz w:val="19"/>
              </w:rPr>
              <w:t>Role &amp; Engineering Highlights</w:t>
            </w:r>
          </w:p>
        </w:tc>
      </w:tr>
      <w:tr>
        <w:tc>
          <w:tcPr>
            <w:tcW w:type="dxa" w:w="2160"/>
            <w:shd w:fill="FFFFFF"/>
            <w:tcMar>
              <w:top w:w="60" w:type="dxa"/>
              <w:bottom w:w="60" w:type="dxa"/>
              <w:left w:w="120" w:type="dxa"/>
              <w:right w:w="120" w:type="dxa"/>
            </w:tcMar>
          </w:tcPr>
          <w:p>
            <w:pPr>
              <w:spacing w:after="0"/>
            </w:pPr>
            <w:r>
              <w:rPr>
                <w:b/>
                <w:color w:val="0F172A"/>
                <w:sz w:val="18"/>
              </w:rPr>
              <w:t>Frontend Client</w:t>
            </w:r>
          </w:p>
        </w:tc>
        <w:tc>
          <w:tcPr>
            <w:tcW w:type="dxa" w:w="2880"/>
            <w:shd w:fill="FFFFFF"/>
            <w:tcMar>
              <w:top w:w="60" w:type="dxa"/>
              <w:bottom w:w="60" w:type="dxa"/>
              <w:left w:w="120" w:type="dxa"/>
              <w:right w:w="120" w:type="dxa"/>
            </w:tcMar>
          </w:tcPr>
          <w:p>
            <w:pPr>
              <w:spacing w:after="0"/>
            </w:pPr>
            <w:r>
              <w:rPr>
                <w:color w:val="334155"/>
                <w:sz w:val="18"/>
              </w:rPr>
              <w:t>React 18, Vite, Lucide React</w:t>
            </w:r>
          </w:p>
        </w:tc>
        <w:tc>
          <w:tcPr>
            <w:tcW w:type="dxa" w:w="5040"/>
            <w:shd w:fill="FFFFFF"/>
            <w:tcMar>
              <w:top w:w="60" w:type="dxa"/>
              <w:bottom w:w="60" w:type="dxa"/>
              <w:left w:w="120" w:type="dxa"/>
              <w:right w:w="120" w:type="dxa"/>
            </w:tcMar>
          </w:tcPr>
          <w:p>
            <w:pPr>
              <w:spacing w:after="0"/>
            </w:pPr>
            <w:r>
              <w:rPr>
                <w:color w:val="334155"/>
                <w:sz w:val="18"/>
              </w:rPr>
              <w:t>Single Page Application (SPA) with modular hooks, dark-mode glassmorphism, and responsive flex/grid layouts.</w:t>
            </w:r>
          </w:p>
        </w:tc>
      </w:tr>
      <w:tr>
        <w:tc>
          <w:tcPr>
            <w:tcW w:type="dxa" w:w="2160"/>
            <w:shd w:fill="F8FAFC"/>
            <w:tcMar>
              <w:top w:w="60" w:type="dxa"/>
              <w:bottom w:w="60" w:type="dxa"/>
              <w:left w:w="120" w:type="dxa"/>
              <w:right w:w="120" w:type="dxa"/>
            </w:tcMar>
          </w:tcPr>
          <w:p>
            <w:pPr>
              <w:spacing w:after="0"/>
            </w:pPr>
            <w:r>
              <w:rPr>
                <w:b/>
                <w:color w:val="0F172A"/>
                <w:sz w:val="18"/>
              </w:rPr>
              <w:t>Backend Server</w:t>
            </w:r>
          </w:p>
        </w:tc>
        <w:tc>
          <w:tcPr>
            <w:tcW w:type="dxa" w:w="2880"/>
            <w:shd w:fill="F8FAFC"/>
            <w:tcMar>
              <w:top w:w="60" w:type="dxa"/>
              <w:bottom w:w="60" w:type="dxa"/>
              <w:left w:w="120" w:type="dxa"/>
              <w:right w:w="120" w:type="dxa"/>
            </w:tcMar>
          </w:tcPr>
          <w:p>
            <w:pPr>
              <w:spacing w:after="0"/>
            </w:pPr>
            <w:r>
              <w:rPr>
                <w:color w:val="334155"/>
                <w:sz w:val="18"/>
              </w:rPr>
              <w:t>FastAPI, Python 3.10+, Uvicorn</w:t>
            </w:r>
          </w:p>
        </w:tc>
        <w:tc>
          <w:tcPr>
            <w:tcW w:type="dxa" w:w="5040"/>
            <w:shd w:fill="F8FAFC"/>
            <w:tcMar>
              <w:top w:w="60" w:type="dxa"/>
              <w:bottom w:w="60" w:type="dxa"/>
              <w:left w:w="120" w:type="dxa"/>
              <w:right w:w="120" w:type="dxa"/>
            </w:tcMar>
          </w:tcPr>
          <w:p>
            <w:pPr>
              <w:spacing w:after="0"/>
            </w:pPr>
            <w:r>
              <w:rPr>
                <w:color w:val="334155"/>
                <w:sz w:val="18"/>
              </w:rPr>
              <w:t>Asynchronous high-throughput REST API with automatic OpenAPI documentation and strict Pydantic schema validation.</w:t>
            </w:r>
          </w:p>
        </w:tc>
      </w:tr>
      <w:tr>
        <w:tc>
          <w:tcPr>
            <w:tcW w:type="dxa" w:w="2160"/>
            <w:shd w:fill="FFFFFF"/>
            <w:tcMar>
              <w:top w:w="60" w:type="dxa"/>
              <w:bottom w:w="60" w:type="dxa"/>
              <w:left w:w="120" w:type="dxa"/>
              <w:right w:w="120" w:type="dxa"/>
            </w:tcMar>
          </w:tcPr>
          <w:p>
            <w:pPr>
              <w:spacing w:after="0"/>
            </w:pPr>
            <w:r>
              <w:rPr>
                <w:b/>
                <w:color w:val="0F172A"/>
                <w:sz w:val="18"/>
              </w:rPr>
              <w:t>Database &amp; ORM</w:t>
            </w:r>
          </w:p>
        </w:tc>
        <w:tc>
          <w:tcPr>
            <w:tcW w:type="dxa" w:w="2880"/>
            <w:shd w:fill="FFFFFF"/>
            <w:tcMar>
              <w:top w:w="60" w:type="dxa"/>
              <w:bottom w:w="60" w:type="dxa"/>
              <w:left w:w="120" w:type="dxa"/>
              <w:right w:w="120" w:type="dxa"/>
            </w:tcMar>
          </w:tcPr>
          <w:p>
            <w:pPr>
              <w:spacing w:after="0"/>
            </w:pPr>
            <w:r>
              <w:rPr>
                <w:color w:val="334155"/>
                <w:sz w:val="18"/>
              </w:rPr>
              <w:t>SQLite / PostgreSQL, SQLAlchemy 2.0</w:t>
            </w:r>
          </w:p>
        </w:tc>
        <w:tc>
          <w:tcPr>
            <w:tcW w:type="dxa" w:w="5040"/>
            <w:shd w:fill="FFFFFF"/>
            <w:tcMar>
              <w:top w:w="60" w:type="dxa"/>
              <w:bottom w:w="60" w:type="dxa"/>
              <w:left w:w="120" w:type="dxa"/>
              <w:right w:w="120" w:type="dxa"/>
            </w:tcMar>
          </w:tcPr>
          <w:p>
            <w:pPr>
              <w:spacing w:after="0"/>
            </w:pPr>
            <w:r>
              <w:rPr>
                <w:color w:val="334155"/>
                <w:sz w:val="18"/>
              </w:rPr>
              <w:t>ACID-compliant relational persistence, indexed foreign key relations, and declarative ORM models.</w:t>
            </w:r>
          </w:p>
        </w:tc>
      </w:tr>
      <w:tr>
        <w:tc>
          <w:tcPr>
            <w:tcW w:type="dxa" w:w="2160"/>
            <w:shd w:fill="F8FAFC"/>
            <w:tcMar>
              <w:top w:w="60" w:type="dxa"/>
              <w:bottom w:w="60" w:type="dxa"/>
              <w:left w:w="120" w:type="dxa"/>
              <w:right w:w="120" w:type="dxa"/>
            </w:tcMar>
          </w:tcPr>
          <w:p>
            <w:pPr>
              <w:spacing w:after="0"/>
            </w:pPr>
            <w:r>
              <w:rPr>
                <w:b/>
                <w:color w:val="0F172A"/>
                <w:sz w:val="18"/>
              </w:rPr>
              <w:t>Machine Learning</w:t>
            </w:r>
          </w:p>
        </w:tc>
        <w:tc>
          <w:tcPr>
            <w:tcW w:type="dxa" w:w="2880"/>
            <w:shd w:fill="F8FAFC"/>
            <w:tcMar>
              <w:top w:w="60" w:type="dxa"/>
              <w:bottom w:w="60" w:type="dxa"/>
              <w:left w:w="120" w:type="dxa"/>
              <w:right w:w="120" w:type="dxa"/>
            </w:tcMar>
          </w:tcPr>
          <w:p>
            <w:pPr>
              <w:spacing w:after="0"/>
            </w:pPr>
            <w:r>
              <w:rPr>
                <w:color w:val="334155"/>
                <w:sz w:val="18"/>
              </w:rPr>
              <w:t>Scikit-Learn, NumPy, Pandas</w:t>
            </w:r>
          </w:p>
        </w:tc>
        <w:tc>
          <w:tcPr>
            <w:tcW w:type="dxa" w:w="5040"/>
            <w:shd w:fill="F8FAFC"/>
            <w:tcMar>
              <w:top w:w="60" w:type="dxa"/>
              <w:bottom w:w="60" w:type="dxa"/>
              <w:left w:w="120" w:type="dxa"/>
              <w:right w:w="120" w:type="dxa"/>
            </w:tcMar>
          </w:tcPr>
          <w:p>
            <w:pPr>
              <w:spacing w:after="0"/>
            </w:pPr>
            <w:r>
              <w:rPr>
                <w:color w:val="334155"/>
                <w:sz w:val="18"/>
              </w:rPr>
              <w:t>TF-IDF text vectorization, supervised categorizer, Isolation Forest anomaly scanner, and velocity regression.</w:t>
            </w:r>
          </w:p>
        </w:tc>
      </w:tr>
      <w:tr>
        <w:tc>
          <w:tcPr>
            <w:tcW w:type="dxa" w:w="2160"/>
            <w:shd w:fill="FFFFFF"/>
            <w:tcMar>
              <w:top w:w="60" w:type="dxa"/>
              <w:bottom w:w="60" w:type="dxa"/>
              <w:left w:w="120" w:type="dxa"/>
              <w:right w:w="120" w:type="dxa"/>
            </w:tcMar>
          </w:tcPr>
          <w:p>
            <w:pPr>
              <w:spacing w:after="0"/>
            </w:pPr>
            <w:r>
              <w:rPr>
                <w:b/>
                <w:color w:val="0F172A"/>
                <w:sz w:val="18"/>
              </w:rPr>
              <w:t>Authentication &amp; Security</w:t>
            </w:r>
          </w:p>
        </w:tc>
        <w:tc>
          <w:tcPr>
            <w:tcW w:type="dxa" w:w="2880"/>
            <w:shd w:fill="FFFFFF"/>
            <w:tcMar>
              <w:top w:w="60" w:type="dxa"/>
              <w:bottom w:w="60" w:type="dxa"/>
              <w:left w:w="120" w:type="dxa"/>
              <w:right w:w="120" w:type="dxa"/>
            </w:tcMar>
          </w:tcPr>
          <w:p>
            <w:pPr>
              <w:spacing w:after="0"/>
            </w:pPr>
            <w:r>
              <w:rPr>
                <w:color w:val="334155"/>
                <w:sz w:val="18"/>
              </w:rPr>
              <w:t>JWT (python-jose), Passlib (Bcrypt)</w:t>
            </w:r>
          </w:p>
        </w:tc>
        <w:tc>
          <w:tcPr>
            <w:tcW w:type="dxa" w:w="5040"/>
            <w:shd w:fill="FFFFFF"/>
            <w:tcMar>
              <w:top w:w="60" w:type="dxa"/>
              <w:bottom w:w="60" w:type="dxa"/>
              <w:left w:w="120" w:type="dxa"/>
              <w:right w:w="120" w:type="dxa"/>
            </w:tcMar>
          </w:tcPr>
          <w:p>
            <w:pPr>
              <w:spacing w:after="0"/>
            </w:pPr>
            <w:r>
              <w:rPr>
                <w:color w:val="334155"/>
                <w:sz w:val="18"/>
              </w:rPr>
              <w:t>Stateless bearer token authentication with encrypted claims and salted password hashing (12+ rounds).</w:t>
            </w:r>
          </w:p>
        </w:tc>
      </w:tr>
      <w:tr>
        <w:tc>
          <w:tcPr>
            <w:tcW w:type="dxa" w:w="2160"/>
            <w:shd w:fill="F8FAFC"/>
            <w:tcMar>
              <w:top w:w="60" w:type="dxa"/>
              <w:bottom w:w="60" w:type="dxa"/>
              <w:left w:w="120" w:type="dxa"/>
              <w:right w:w="120" w:type="dxa"/>
            </w:tcMar>
          </w:tcPr>
          <w:p>
            <w:pPr>
              <w:spacing w:after="0"/>
            </w:pPr>
            <w:r>
              <w:rPr>
                <w:b/>
                <w:color w:val="0F172A"/>
                <w:sz w:val="18"/>
              </w:rPr>
              <w:t>Deployment &amp; Hosting</w:t>
            </w:r>
          </w:p>
        </w:tc>
        <w:tc>
          <w:tcPr>
            <w:tcW w:type="dxa" w:w="2880"/>
            <w:shd w:fill="F8FAFC"/>
            <w:tcMar>
              <w:top w:w="60" w:type="dxa"/>
              <w:bottom w:w="60" w:type="dxa"/>
              <w:left w:w="120" w:type="dxa"/>
              <w:right w:w="120" w:type="dxa"/>
            </w:tcMar>
          </w:tcPr>
          <w:p>
            <w:pPr>
              <w:spacing w:after="0"/>
            </w:pPr>
            <w:r>
              <w:rPr>
                <w:color w:val="334155"/>
                <w:sz w:val="18"/>
              </w:rPr>
              <w:t>Vercel (Client), Cloud Server (API)</w:t>
            </w:r>
          </w:p>
        </w:tc>
        <w:tc>
          <w:tcPr>
            <w:tcW w:type="dxa" w:w="5040"/>
            <w:shd w:fill="F8FAFC"/>
            <w:tcMar>
              <w:top w:w="60" w:type="dxa"/>
              <w:bottom w:w="60" w:type="dxa"/>
              <w:left w:w="120" w:type="dxa"/>
              <w:right w:w="120" w:type="dxa"/>
            </w:tcMar>
          </w:tcPr>
          <w:p>
            <w:pPr>
              <w:spacing w:after="0"/>
            </w:pPr>
            <w:r>
              <w:rPr>
                <w:color w:val="334155"/>
                <w:sz w:val="18"/>
              </w:rPr>
              <w:t>Production-optimized build with client-side SPA routing rewrites (vercel.json) and flexible baseURL client setup.</w:t>
            </w:r>
          </w:p>
        </w:tc>
      </w:tr>
    </w:tbl>
    <w:p>
      <w:pPr>
        <w:spacing w:after="120"/>
      </w:pPr>
    </w:p>
    <w:p>
      <w:pPr>
        <w:keepNext/>
        <w:spacing w:before="280" w:after="80"/>
      </w:pPr>
      <w:r>
        <w:rPr>
          <w:rFonts w:ascii="Calibri" w:hAnsi="Calibri"/>
          <w:b/>
          <w:color w:val="0F172A"/>
          <w:sz w:val="28"/>
        </w:rPr>
        <w:t>4. Machine Learning &amp; Intelligence Modules</w:t>
      </w:r>
    </w:p>
    <w:p>
      <w:pPr>
        <w:keepNext/>
        <w:spacing w:before="200" w:after="40"/>
      </w:pPr>
      <w:r>
        <w:rPr>
          <w:rFonts w:ascii="Calibri" w:hAnsi="Calibri"/>
          <w:b/>
          <w:color w:val="2563EB"/>
          <w:sz w:val="23"/>
        </w:rPr>
        <w:t>4.1 NLP Transaction Auto-Categorization (ml_categorizer.py)</w:t>
      </w:r>
    </w:p>
    <w:p>
      <w:r>
        <w:t>Transforms merchant descriptions (e.g. 'Starbucks Coffee', 'Uber Ride', 'Netflix Premium') into numerical token matrices using TF-IDF (Term Frequency - Inverse Document Frequency) with n-gram range (1, 2). A supervised classifier maps the vectorized tokens to standardized categories and computes a confidence probability score. When users manually correct a category, the system logs feedback for continuous adaptive retraining.</w:t>
      </w:r>
    </w:p>
    <w:p>
      <w:pPr>
        <w:keepNext/>
        <w:spacing w:before="200" w:after="40"/>
      </w:pPr>
      <w:r>
        <w:rPr>
          <w:rFonts w:ascii="Calibri" w:hAnsi="Calibri"/>
          <w:b/>
          <w:color w:val="2563EB"/>
          <w:sz w:val="23"/>
        </w:rPr>
        <w:t>4.2 Time-Series Velocity Forecaster (ml_forecasting.py)</w:t>
      </w:r>
    </w:p>
    <w:p>
      <w:r>
        <w:t>Analyzes daily cumulative spending trends to compute spending velocity and extrapolate month-end burn rate:</w:t>
        <w:br/>
        <w:t>• Daily Burn Velocity = Cumulative Spend / Current Day of Month</w:t>
        <w:br/>
        <w:t>• Projected Month-End Spend = Current Spend + (Daily Burn Velocity × Remaining Days in Month)</w:t>
        <w:br/>
        <w:t>This dynamic forecast is compared against active budget ceilings to alert the user with tiered warnings (Safe, Warning, Risk of Breach).</w:t>
      </w:r>
    </w:p>
    <w:p>
      <w:pPr>
        <w:keepNext/>
        <w:spacing w:before="200" w:after="40"/>
      </w:pPr>
      <w:r>
        <w:rPr>
          <w:rFonts w:ascii="Calibri" w:hAnsi="Calibri"/>
          <w:b/>
          <w:color w:val="2563EB"/>
          <w:sz w:val="23"/>
        </w:rPr>
        <w:t>4.3 Isolation Forest Anomaly Detection (ml_anomaly.py)</w:t>
      </w:r>
    </w:p>
    <w:p>
      <w:r>
        <w:t>Employs an unsupervised Isolation Forest tree ensemble algorithm alongside statistical Z-scores across spending amount, frequency, and category variances. Outlier data points isolate in fewer tree partitions and receive high anomaly scores, instantly alerting the user to abnormal spikes or potential billing discrepancies.</w:t>
      </w:r>
    </w:p>
    <w:p>
      <w:pPr>
        <w:keepNext/>
        <w:spacing w:before="200" w:after="40"/>
      </w:pPr>
      <w:r>
        <w:rPr>
          <w:rFonts w:ascii="Calibri" w:hAnsi="Calibri"/>
          <w:b/>
          <w:color w:val="2563EB"/>
          <w:sz w:val="23"/>
        </w:rPr>
        <w:t>4.4 Subscription Hike Radar (recommendation_engine.py)</w:t>
      </w:r>
    </w:p>
    <w:p>
      <w:r>
        <w:t>Clusters transactions by merchant and analyzes billing intervals (28–32 days). It identifies active recurring subscriptions and detects price increases across billing cycles.</w:t>
      </w:r>
    </w:p>
    <w:p>
      <w:pPr>
        <w:keepNext/>
        <w:spacing w:before="200" w:after="40"/>
      </w:pPr>
      <w:r>
        <w:rPr>
          <w:rFonts w:ascii="Calibri" w:hAnsi="Calibri"/>
          <w:b/>
          <w:color w:val="2563EB"/>
          <w:sz w:val="23"/>
        </w:rPr>
        <w:t>4.5 Multi-Format CSV Bank Statement Ingestion (csv_parser.py)</w:t>
      </w:r>
    </w:p>
    <w:p>
      <w:r>
        <w:t>Uses fuzzy header detection to automatically map diverse bank statement formats (Date, Amount, Description, Balance) and batch-processes imported records through the NLP auto-categorization pipeline.</w:t>
      </w:r>
    </w:p>
    <w:p>
      <w:pPr>
        <w:keepNext/>
        <w:spacing w:before="280" w:after="80"/>
      </w:pPr>
      <w:r>
        <w:rPr>
          <w:rFonts w:ascii="Calibri" w:hAnsi="Calibri"/>
          <w:b/>
          <w:color w:val="0F172A"/>
          <w:sz w:val="28"/>
        </w:rPr>
        <w:t>5. Core Modules &amp; User Capabilities</w:t>
      </w:r>
    </w:p>
    <w:p>
      <w:pPr>
        <w:pStyle w:val="ListBullet"/>
        <w:spacing w:before="0" w:after="40"/>
      </w:pPr>
      <w:r>
        <w:rPr>
          <w:b/>
          <w:color w:val="0F172A"/>
        </w:rPr>
        <w:t xml:space="preserve">User Dashboard &amp; KPI Suite: </w:t>
      </w:r>
      <w:r>
        <w:rPr>
          <w:color w:val="334155"/>
        </w:rPr>
        <w:t>Displays monthly inflow, outflow, net savings, financial health score (0–100), and interactive 60-day spending activity heatmap matrix.</w:t>
      </w:r>
    </w:p>
    <w:p>
      <w:pPr>
        <w:pStyle w:val="ListBullet"/>
        <w:spacing w:before="0" w:after="40"/>
      </w:pPr>
      <w:r>
        <w:rPr>
          <w:b/>
          <w:color w:val="0F172A"/>
        </w:rPr>
        <w:t xml:space="preserve">Transaction Management: </w:t>
      </w:r>
      <w:r>
        <w:rPr>
          <w:color w:val="334155"/>
        </w:rPr>
        <w:t>Full CRUD operations with multi-criteria filtering (date range, category, payment mode) and CSV statement importing.</w:t>
      </w:r>
    </w:p>
    <w:p>
      <w:pPr>
        <w:pStyle w:val="ListBullet"/>
        <w:spacing w:before="0" w:after="40"/>
      </w:pPr>
      <w:r>
        <w:rPr>
          <w:b/>
          <w:color w:val="0F172A"/>
        </w:rPr>
        <w:t xml:space="preserve">Smart Budgets &amp; Safeguards: </w:t>
      </w:r>
      <w:r>
        <w:rPr>
          <w:color w:val="334155"/>
        </w:rPr>
        <w:t>Category-wise and overall monthly budget ceilings with visual progress indicators (Safe &lt; 75%, Warning 75%–99%, Exceeded ≥ 100%).</w:t>
      </w:r>
    </w:p>
    <w:p>
      <w:pPr>
        <w:pStyle w:val="ListBullet"/>
        <w:spacing w:before="0" w:after="40"/>
      </w:pPr>
      <w:r>
        <w:rPr>
          <w:b/>
          <w:color w:val="0F172A"/>
        </w:rPr>
        <w:t xml:space="preserve">AI Smart Insighter Hub: </w:t>
      </w:r>
      <w:r>
        <w:rPr>
          <w:color w:val="334155"/>
        </w:rPr>
        <w:t>Dedicated analytics center presenting month-end spend forecasts, flagged transaction anomalies, subscription radars, and personalized savings advice.</w:t>
      </w:r>
    </w:p>
    <w:p>
      <w:pPr>
        <w:pStyle w:val="ListBullet"/>
        <w:spacing w:before="0" w:after="40"/>
      </w:pPr>
      <w:r>
        <w:rPr>
          <w:b/>
          <w:color w:val="0F172A"/>
        </w:rPr>
        <w:t xml:space="preserve">Administrator Oversight Portal: </w:t>
      </w:r>
      <w:r>
        <w:rPr>
          <w:color w:val="334155"/>
        </w:rPr>
        <w:t>Centralized platform telemetry displaying total registered users, active user directory, toggle controls, platform gross volume, and aggregated category distributions.</w:t>
      </w:r>
    </w:p>
    <w:p>
      <w:pPr>
        <w:keepNext/>
        <w:spacing w:before="280" w:after="80"/>
      </w:pPr>
      <w:r>
        <w:rPr>
          <w:rFonts w:ascii="Calibri" w:hAnsi="Calibri"/>
          <w:b/>
          <w:color w:val="0F172A"/>
          <w:sz w:val="28"/>
        </w:rPr>
        <w:t>6. Security, Resilience &amp; Quality Standards</w:t>
      </w:r>
    </w:p>
    <w:p>
      <w:pPr>
        <w:pStyle w:val="ListBullet"/>
        <w:spacing w:before="0" w:after="40"/>
      </w:pPr>
      <w:r>
        <w:rPr>
          <w:b/>
          <w:color w:val="0F172A"/>
        </w:rPr>
        <w:t xml:space="preserve">Stateless JWT Authentication: </w:t>
      </w:r>
      <w:r>
        <w:rPr>
          <w:color w:val="334155"/>
        </w:rPr>
        <w:t>Protected routes verify cryptographically signed tokens on every request via FastAPI dependency injection.</w:t>
      </w:r>
    </w:p>
    <w:p>
      <w:pPr>
        <w:pStyle w:val="ListBullet"/>
        <w:spacing w:before="0" w:after="40"/>
      </w:pPr>
      <w:r>
        <w:rPr>
          <w:b/>
          <w:color w:val="0F172A"/>
        </w:rPr>
        <w:t xml:space="preserve">Bcrypt Password Hashing: </w:t>
      </w:r>
      <w:r>
        <w:rPr>
          <w:color w:val="334155"/>
        </w:rPr>
        <w:t>Salted password hashing (12+ rounds) ensures credentials are secure against rainbow table attacks.</w:t>
      </w:r>
    </w:p>
    <w:p>
      <w:pPr>
        <w:pStyle w:val="ListBullet"/>
        <w:spacing w:before="0" w:after="40"/>
      </w:pPr>
      <w:r>
        <w:rPr>
          <w:b/>
          <w:color w:val="0F172A"/>
        </w:rPr>
        <w:t xml:space="preserve">Role-Based Access Control (RBAC): </w:t>
      </w:r>
      <w:r>
        <w:rPr>
          <w:color w:val="334155"/>
        </w:rPr>
        <w:t>Strict middleware enforcement separates regular user scopes from administrative system capabilities.</w:t>
      </w:r>
    </w:p>
    <w:p>
      <w:pPr>
        <w:pStyle w:val="ListBullet"/>
        <w:spacing w:before="0" w:after="40"/>
      </w:pPr>
      <w:r>
        <w:rPr>
          <w:b/>
          <w:color w:val="0F172A"/>
        </w:rPr>
        <w:t xml:space="preserve">Production Ready Deployment: </w:t>
      </w:r>
      <w:r>
        <w:rPr>
          <w:color w:val="334155"/>
        </w:rPr>
        <w:t>Configured with vercel.json rewrite routing for seamless SPA reloads and environment-based API base URLs.</w:t>
      </w:r>
    </w:p>
    <w:p>
      <w:pPr>
        <w:keepNext/>
        <w:spacing w:before="280" w:after="80"/>
      </w:pPr>
      <w:r>
        <w:rPr>
          <w:rFonts w:ascii="Calibri" w:hAnsi="Calibri"/>
          <w:b/>
          <w:color w:val="0F172A"/>
          <w:sz w:val="28"/>
        </w:rPr>
        <w:t>7. Conclusion &amp; Value Proposition</w:t>
      </w:r>
    </w:p>
    <w:p>
      <w:r>
        <w:t>Expense Tracker with Smart Insighter successfully modernizes personal financial management. By fusing modern web architecture with machine learning algorithms, the platform replaces static tracking sheets with an automated, predictive, and secure financial intelligence hub that empowers users to eliminate overspending, monitor subscriptions, and achieve sustainable financial wellness.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