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jc w:val="center"/>
      </w:pPr>
      <w:r>
        <w:rPr>
          <w:rFonts w:ascii="Calibri" w:cs="Calibri" w:eastAsia="Calibri" w:hAnsi="Calibri"/>
          <w:b/>
          <w:bCs/>
          <w:color w:val="1F3864"/>
          <w:sz w:val="52"/>
          <w:szCs w:val="52"/>
        </w:rPr>
        <w:t xml:space="preserve">3-Hour NVMe SSD Validation</w:t>
      </w:r>
    </w:p>
    <w:p>
      <w:pPr>
        <w:spacing w:after="220"/>
        <w:jc w:val="center"/>
      </w:pPr>
      <w:r>
        <w:rPr>
          <w:rFonts w:ascii="Calibri" w:cs="Calibri" w:eastAsia="Calibri" w:hAnsi="Calibri"/>
          <w:b/>
          <w:bCs/>
          <w:color w:val="C00000"/>
          <w:sz w:val="24"/>
          <w:szCs w:val="24"/>
        </w:rPr>
        <w:t xml:space="preserve">Server 172.16.13.217 — 2 × Samsung PM1743 15.36 TB (Gen5) + 2 × 960 GB NVMe</w:t>
      </w:r>
    </w:p>
    <w:p>
      <w:pPr>
        <w:spacing w:after="30"/>
        <w:jc w:val="center"/>
      </w:pPr>
      <w:r>
        <w:rPr>
          <w:rFonts w:ascii="Calibri" w:cs="Calibri" w:eastAsia="Calibri" w:hAnsi="Calibri"/>
          <w:color w:val="404040"/>
          <w:sz w:val="20"/>
          <w:szCs w:val="20"/>
        </w:rPr>
        <w:t xml:space="preserve">4 × Samsung NVMe SSD • fio 3.28 direct-IO validation suite</w:t>
      </w:r>
    </w:p>
    <w:p>
      <w:pPr>
        <w:spacing w:after="360"/>
        <w:jc w:val="center"/>
      </w:pPr>
      <w:r>
        <w:rPr>
          <w:rFonts w:ascii="Calibri" w:cs="Calibri" w:eastAsia="Calibri" w:hAnsi="Calibri"/>
          <w:color w:val="404040"/>
          <w:sz w:val="20"/>
          <w:szCs w:val="20"/>
        </w:rPr>
        <w:t xml:space="preserve">On Tyrone MDA200A2N-224 (dual AMD EPYC 9135, 1.13 TB RAM)</w:t>
      </w:r>
    </w:p>
    <w:tbl>
      <w:tblPr>
        <w:tblW w:type="dxa" w:w="990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dxa" w:w="31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Prepared for:</w:t>
            </w:r>
          </w:p>
        </w:tc>
        <w:tc>
          <w:tcPr>
            <w:tcW w:type="dxa" w:w="6806"/>
            <w:tcMar>
              <w:top w:type="dxa" w:w="40"/>
              <w:left w:type="dxa" w:w="90"/>
              <w:bottom w:type="dxa" w:w="40"/>
              <w:right w:type="dxa" w:w="90"/>
            </w:tcMar>
            <w:vAlign w:val="center"/>
          </w:tcPr>
          <w:p>
            <w:pPr>
              <w:spacing w:after="0"/>
            </w:pPr>
            <w:r>
              <w:rPr>
                <w:rFonts w:ascii="Calibri" w:cs="Calibri" w:eastAsia="Calibri" w:hAnsi="Calibri"/>
                <w:sz w:val="19"/>
                <w:szCs w:val="19"/>
              </w:rPr>
              <w:t xml:space="preserve">Netweb Technologies India Ltd</w:t>
            </w:r>
          </w:p>
        </w:tc>
      </w:tr>
      <w:tr>
        <w:tc>
          <w:tcPr>
            <w:tcW w:type="dxa" w:w="31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Date issued:</w:t>
            </w:r>
          </w:p>
        </w:tc>
        <w:tc>
          <w:tcPr>
            <w:tcW w:type="dxa" w:w="6806"/>
            <w:tcMar>
              <w:top w:type="dxa" w:w="40"/>
              <w:left w:type="dxa" w:w="90"/>
              <w:bottom w:type="dxa" w:w="40"/>
              <w:right w:type="dxa" w:w="90"/>
            </w:tcMar>
            <w:vAlign w:val="center"/>
          </w:tcPr>
          <w:p>
            <w:pPr>
              <w:spacing w:after="0"/>
            </w:pPr>
            <w:r>
              <w:rPr>
                <w:rFonts w:ascii="Calibri" w:cs="Calibri" w:eastAsia="Calibri" w:hAnsi="Calibri"/>
                <w:sz w:val="19"/>
                <w:szCs w:val="19"/>
              </w:rPr>
              <w:t xml:space="preserve">02 June 2026</w:t>
            </w:r>
          </w:p>
        </w:tc>
      </w:tr>
      <w:tr>
        <w:tc>
          <w:tcPr>
            <w:tcW w:type="dxa" w:w="31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Test platform:</w:t>
            </w:r>
          </w:p>
        </w:tc>
        <w:tc>
          <w:tcPr>
            <w:tcW w:type="dxa" w:w="6806"/>
            <w:tcMar>
              <w:top w:type="dxa" w:w="40"/>
              <w:left w:type="dxa" w:w="90"/>
              <w:bottom w:type="dxa" w:w="40"/>
              <w:right w:type="dxa" w:w="90"/>
            </w:tcMar>
            <w:vAlign w:val="center"/>
          </w:tcPr>
          <w:p>
            <w:pPr>
              <w:spacing w:after="0"/>
            </w:pPr>
            <w:r>
              <w:rPr>
                <w:rFonts w:ascii="Calibri" w:cs="Calibri" w:eastAsia="Calibri" w:hAnsi="Calibri"/>
                <w:sz w:val="19"/>
                <w:szCs w:val="19"/>
              </w:rPr>
              <w:t xml:space="preserve">172.16.13.217 — Tyrone MDA200A2N-224, 2 × EPYC 9135, 1.13 TB RAM</w:t>
            </w:r>
          </w:p>
        </w:tc>
      </w:tr>
      <w:tr>
        <w:tc>
          <w:tcPr>
            <w:tcW w:type="dxa" w:w="31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Campaign window:</w:t>
            </w:r>
          </w:p>
        </w:tc>
        <w:tc>
          <w:tcPr>
            <w:tcW w:type="dxa" w:w="6806"/>
            <w:tcMar>
              <w:top w:type="dxa" w:w="40"/>
              <w:left w:type="dxa" w:w="90"/>
              <w:bottom w:type="dxa" w:w="40"/>
              <w:right w:type="dxa" w:w="90"/>
            </w:tcMar>
            <w:vAlign w:val="center"/>
          </w:tcPr>
          <w:p>
            <w:pPr>
              <w:spacing w:after="0"/>
            </w:pPr>
            <w:r>
              <w:rPr>
                <w:rFonts w:ascii="Calibri" w:cs="Calibri" w:eastAsia="Calibri" w:hAnsi="Calibri"/>
                <w:sz w:val="19"/>
                <w:szCs w:val="19"/>
              </w:rPr>
              <w:t xml:space="preserve">02 Jun 2026 06:30–06:45 UTC • fio direct-IO suite, libaio, NUMA-pinned, 2 waves</w:t>
            </w:r>
          </w:p>
        </w:tc>
      </w:tr>
      <w:tr>
        <w:tc>
          <w:tcPr>
            <w:tcW w:type="dxa" w:w="31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Drives under test:</w:t>
            </w:r>
          </w:p>
        </w:tc>
        <w:tc>
          <w:tcPr>
            <w:tcW w:type="dxa" w:w="6806"/>
            <w:tcMar>
              <w:top w:type="dxa" w:w="40"/>
              <w:left w:type="dxa" w:w="90"/>
              <w:bottom w:type="dxa" w:w="40"/>
              <w:right w:type="dxa" w:w="90"/>
            </w:tcMar>
            <w:vAlign w:val="center"/>
          </w:tcPr>
          <w:p>
            <w:pPr>
              <w:spacing w:after="0"/>
            </w:pPr>
            <w:r>
              <w:rPr>
                <w:rFonts w:ascii="Calibri" w:cs="Calibri" w:eastAsia="Calibri" w:hAnsi="Calibri"/>
                <w:sz w:val="19"/>
                <w:szCs w:val="19"/>
              </w:rPr>
              <w:t xml:space="preserve">2 × Samsung MZWL615THBLF (PM1743, 15.36 TB, U.2 Gen5) + 2 × Samsung MZVL6960HFLB (960 GB, M.2)</w:t>
            </w:r>
          </w:p>
        </w:tc>
      </w:tr>
    </w:tbl>
    <w:p>
      <w:pPr>
        <w:spacing w:after="0" w:before="30"/>
      </w:pPr>
    </w:p>
    <w:tbl>
      <w:tblPr>
        <w:tblW w:type="dxa" w:w="990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dxa" w:w="31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Status:</w:t>
            </w:r>
          </w:p>
        </w:tc>
        <w:tc>
          <w:tcPr>
            <w:tcW w:type="dxa" w:w="6806"/>
            <w:tcMar>
              <w:top w:type="dxa" w:w="40"/>
              <w:left w:type="dxa" w:w="90"/>
              <w:bottom w:type="dxa" w:w="40"/>
              <w:right w:type="dxa" w:w="90"/>
            </w:tcMar>
            <w:vAlign w:val="center"/>
          </w:tcPr>
          <w:p>
            <w:pPr>
              <w:spacing w:after="20"/>
            </w:pPr>
            <w:r>
              <w:rPr>
                <w:rFonts w:ascii="Calibri" w:cs="Calibri" w:eastAsia="Calibri" w:hAnsi="Calibri"/>
                <w:b/>
                <w:bCs/>
                <w:color w:val="2E7D32"/>
                <w:sz w:val="18"/>
                <w:szCs w:val="18"/>
              </w:rPr>
              <w:t xml:space="preserve">PASS — 2 × PM1743 fully validated at PCIe Gen5 x4 (12.3 GB/s read, 1.75M IOPS)</w:t>
            </w:r>
          </w:p>
          <w:p>
            <w:pPr>
              <w:spacing w:after="0"/>
            </w:pPr>
            <w:r>
              <w:rPr>
                <w:rFonts w:ascii="Calibri" w:cs="Calibri" w:eastAsia="Calibri" w:hAnsi="Calibri"/>
                <w:b/>
                <w:bCs/>
                <w:color w:val="B8860B"/>
                <w:sz w:val="18"/>
                <w:szCs w:val="18"/>
              </w:rPr>
              <w:t xml:space="preserve">PASS WITH LIMITATION — 2 × 960 GB throttled to ~25% by PCIe Gen3 x2 link downgrade (action required)</w:t>
            </w:r>
          </w:p>
        </w:tc>
      </w:tr>
    </w:tbl>
    <w:p>
      <w:r>
        <w:br w:type="page"/>
      </w:r>
    </w:p>
    <w:p>
      <w:pPr>
        <w:spacing w:after="130" w:before="220"/>
      </w:pPr>
      <w:r>
        <w:rPr>
          <w:rFonts w:ascii="Calibri" w:cs="Calibri" w:eastAsia="Calibri" w:hAnsi="Calibri"/>
          <w:b/>
          <w:bCs/>
          <w:color w:val="C00000"/>
          <w:sz w:val="26"/>
          <w:szCs w:val="26"/>
        </w:rPr>
        <w:t xml:space="preserve">1. Executive Summary</w:t>
      </w:r>
    </w:p>
    <w:p>
      <w:pPr>
        <w:spacing w:after="140" w:before="0"/>
      </w:pPr>
      <w:r>
        <w:rPr>
          <w:rFonts w:ascii="Calibri" w:cs="Calibri" w:eastAsia="Calibri" w:hAnsi="Calibri"/>
          <w:sz w:val="19"/>
          <w:szCs w:val="19"/>
        </w:rPr>
        <w:t xml:space="preserve">Performance validation of four Samsung NVMe SSDs in server 172.16.13.217 (Tyrone MDA200A2N-224, dual AMD EPYC 9135). The device set comprises </w:t>
      </w:r>
      <w:r>
        <w:rPr>
          <w:rFonts w:ascii="Calibri" w:cs="Calibri" w:eastAsia="Calibri" w:hAnsi="Calibri"/>
          <w:b/>
          <w:bCs/>
          <w:sz w:val="19"/>
          <w:szCs w:val="19"/>
        </w:rPr>
        <w:t xml:space="preserve">two 15.36 TB Samsung PM1743 enterprise U.2 drives (PCIe Gen5)</w:t>
      </w:r>
      <w:r>
        <w:rPr>
          <w:rFonts w:ascii="Calibri" w:cs="Calibri" w:eastAsia="Calibri" w:hAnsi="Calibri"/>
          <w:sz w:val="19"/>
          <w:szCs w:val="19"/>
        </w:rPr>
        <w:t xml:space="preserve"> and </w:t>
      </w:r>
      <w:r>
        <w:rPr>
          <w:rFonts w:ascii="Calibri" w:cs="Calibri" w:eastAsia="Calibri" w:hAnsi="Calibri"/>
          <w:b/>
          <w:bCs/>
          <w:sz w:val="19"/>
          <w:szCs w:val="19"/>
        </w:rPr>
        <w:t xml:space="preserve">two 960 GB Samsung client M.2 drives (PM9-series)</w:t>
      </w:r>
      <w:r>
        <w:rPr>
          <w:rFonts w:ascii="Calibri" w:cs="Calibri" w:eastAsia="Calibri" w:hAnsi="Calibri"/>
          <w:sz w:val="19"/>
          <w:szCs w:val="19"/>
        </w:rPr>
        <w:t xml:space="preserve">. Each drive was exercised with a NUMA-pinned fio 3.28 direct-IO suite (sequential 1 MiB, random 4 KiB at QD512, mixed 70/30, and QD1 latency), with drives run one-per-socket in two waves to eliminate cross-drive contention. All four drives are electrically healthy with zero media errors; the two PM1743 drives deliver full Gen5 performance, while the two 960 GB drives are operating at roughly a quarter of their capability because their PCIe link negotiated down to Gen3 x2.</w:t>
      </w:r>
    </w:p>
    <w:tbl>
      <w:tblPr>
        <w:tblW w:type="dxa" w:w="990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dxa" w:w="36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Metric</w:t>
            </w:r>
          </w:p>
        </w:tc>
        <w:tc>
          <w:tcPr>
            <w:tcW w:type="dxa" w:w="275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Result</w:t>
            </w:r>
          </w:p>
        </w:tc>
        <w:tc>
          <w:tcPr>
            <w:tcW w:type="dxa" w:w="2256"/>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Industry typical</w:t>
            </w:r>
          </w:p>
        </w:tc>
        <w:tc>
          <w:tcPr>
            <w:tcW w:type="dxa" w:w="13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Verdict</w:t>
            </w:r>
          </w:p>
        </w:tc>
      </w:tr>
      <w:tr>
        <w:tc>
          <w:tcPr>
            <w:tcW w:type="dxa" w:w="36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PM1743 sequential read (Gen5 x4)</w:t>
            </w:r>
          </w:p>
        </w:tc>
        <w:tc>
          <w:tcPr>
            <w:tcW w:type="dxa" w:w="275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12.22 / 12.32 GB/s</w:t>
            </w:r>
          </w:p>
        </w:tc>
        <w:tc>
          <w:tcPr>
            <w:tcW w:type="dxa" w:w="225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up to 14 GB/s (PM1743)</w:t>
            </w:r>
          </w:p>
        </w:tc>
        <w:tc>
          <w:tcPr>
            <w:tcW w:type="dxa" w:w="1300"/>
            <w:shd w:fill="FFFFFF"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PASS</w:t>
            </w:r>
          </w:p>
        </w:tc>
      </w:tr>
      <w:tr>
        <w:tc>
          <w:tcPr>
            <w:tcW w:type="dxa" w:w="36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PM1743 sequential write</w:t>
            </w:r>
          </w:p>
        </w:tc>
        <w:tc>
          <w:tcPr>
            <w:tcW w:type="dxa" w:w="275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7.06 / 7.06 GB/s</w:t>
            </w:r>
          </w:p>
        </w:tc>
        <w:tc>
          <w:tcPr>
            <w:tcW w:type="dxa" w:w="225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~6.9–7.5 GB/s (PM1743)</w:t>
            </w:r>
          </w:p>
        </w:tc>
        <w:tc>
          <w:tcPr>
            <w:tcW w:type="dxa" w:w="1300"/>
            <w:shd w:fill="F2F2F2"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PASS</w:t>
            </w:r>
          </w:p>
        </w:tc>
      </w:tr>
      <w:tr>
        <w:tc>
          <w:tcPr>
            <w:tcW w:type="dxa" w:w="36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PM1743 4K random read (QD512)</w:t>
            </w:r>
          </w:p>
        </w:tc>
        <w:tc>
          <w:tcPr>
            <w:tcW w:type="dxa" w:w="275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1,760K / 1,745K IOPS</w:t>
            </w:r>
          </w:p>
        </w:tc>
        <w:tc>
          <w:tcPr>
            <w:tcW w:type="dxa" w:w="225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1.5–2.5M IOPS</w:t>
            </w:r>
          </w:p>
        </w:tc>
        <w:tc>
          <w:tcPr>
            <w:tcW w:type="dxa" w:w="1300"/>
            <w:shd w:fill="FFFFFF"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PASS</w:t>
            </w:r>
          </w:p>
        </w:tc>
      </w:tr>
      <w:tr>
        <w:tc>
          <w:tcPr>
            <w:tcW w:type="dxa" w:w="36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PM1743 4K random write (fresh-state)</w:t>
            </w:r>
          </w:p>
        </w:tc>
        <w:tc>
          <w:tcPr>
            <w:tcW w:type="dxa" w:w="275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1,718K / 1,718K IOPS</w:t>
            </w:r>
          </w:p>
        </w:tc>
        <w:tc>
          <w:tcPr>
            <w:tcW w:type="dxa" w:w="225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burst &gt; steady-state</w:t>
            </w:r>
          </w:p>
        </w:tc>
        <w:tc>
          <w:tcPr>
            <w:tcW w:type="dxa" w:w="1300"/>
            <w:shd w:fill="F2F2F2"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PASS</w:t>
            </w:r>
          </w:p>
        </w:tc>
      </w:tr>
      <w:tr>
        <w:tc>
          <w:tcPr>
            <w:tcW w:type="dxa" w:w="36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PM1743 QD1 read / write latency</w:t>
            </w:r>
          </w:p>
        </w:tc>
        <w:tc>
          <w:tcPr>
            <w:tcW w:type="dxa" w:w="275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69.1 / 11.8 µs</w:t>
            </w:r>
          </w:p>
        </w:tc>
        <w:tc>
          <w:tcPr>
            <w:tcW w:type="dxa" w:w="225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60–90 / 10–20 µs</w:t>
            </w:r>
          </w:p>
        </w:tc>
        <w:tc>
          <w:tcPr>
            <w:tcW w:type="dxa" w:w="1300"/>
            <w:shd w:fill="FFFFFF"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PASS</w:t>
            </w:r>
          </w:p>
        </w:tc>
      </w:tr>
      <w:tr>
        <w:tc>
          <w:tcPr>
            <w:tcW w:type="dxa" w:w="36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PM1743 PCIe link (both)</w:t>
            </w:r>
          </w:p>
        </w:tc>
        <w:tc>
          <w:tcPr>
            <w:tcW w:type="dxa" w:w="275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Gen5 x4 — 32 GT/s x4 (ok)</w:t>
            </w:r>
          </w:p>
        </w:tc>
        <w:tc>
          <w:tcPr>
            <w:tcW w:type="dxa" w:w="225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Gen5 x4</w:t>
            </w:r>
          </w:p>
        </w:tc>
        <w:tc>
          <w:tcPr>
            <w:tcW w:type="dxa" w:w="1300"/>
            <w:shd w:fill="F2F2F2"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PASS</w:t>
            </w:r>
          </w:p>
        </w:tc>
      </w:tr>
      <w:tr>
        <w:tc>
          <w:tcPr>
            <w:tcW w:type="dxa" w:w="36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960 GB PCIe link (both)</w:t>
            </w:r>
          </w:p>
        </w:tc>
        <w:tc>
          <w:tcPr>
            <w:tcW w:type="dxa" w:w="275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Gen3 x2 — 8 GT/s x2 (downgraded)</w:t>
            </w:r>
          </w:p>
        </w:tc>
        <w:tc>
          <w:tcPr>
            <w:tcW w:type="dxa" w:w="225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Gen4 x4</w:t>
            </w:r>
          </w:p>
        </w:tc>
        <w:tc>
          <w:tcPr>
            <w:tcW w:type="dxa" w:w="1300"/>
            <w:shd w:fill="FFFFFF" w:color="auto" w:val="clear"/>
            <w:tcMar>
              <w:top w:type="dxa" w:w="40"/>
              <w:left w:type="dxa" w:w="90"/>
              <w:bottom w:type="dxa" w:w="40"/>
              <w:right w:type="dxa" w:w="90"/>
            </w:tcMar>
            <w:vAlign w:val="center"/>
          </w:tcPr>
          <w:p>
            <w:pPr>
              <w:spacing w:after="0"/>
            </w:pPr>
            <w:r>
              <w:rPr>
                <w:rFonts w:ascii="Calibri" w:cs="Calibri" w:eastAsia="Calibri" w:hAnsi="Calibri"/>
                <w:b/>
                <w:bCs/>
                <w:color w:val="C00000"/>
                <w:sz w:val="18"/>
                <w:szCs w:val="18"/>
              </w:rPr>
              <w:t xml:space="preserve">✗ FAIL</w:t>
            </w:r>
          </w:p>
        </w:tc>
      </w:tr>
      <w:tr>
        <w:tc>
          <w:tcPr>
            <w:tcW w:type="dxa" w:w="36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960 GB sequential read (link-capped)</w:t>
            </w:r>
          </w:p>
        </w:tc>
        <w:tc>
          <w:tcPr>
            <w:tcW w:type="dxa" w:w="275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1.87 / 1.87 GB/s</w:t>
            </w:r>
          </w:p>
        </w:tc>
        <w:tc>
          <w:tcPr>
            <w:tcW w:type="dxa" w:w="225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~6–7 GB/s at Gen4 x4</w:t>
            </w:r>
          </w:p>
        </w:tc>
        <w:tc>
          <w:tcPr>
            <w:tcW w:type="dxa" w:w="1300"/>
            <w:shd w:fill="F2F2F2" w:color="auto" w:val="clear"/>
            <w:tcMar>
              <w:top w:type="dxa" w:w="40"/>
              <w:left w:type="dxa" w:w="90"/>
              <w:bottom w:type="dxa" w:w="40"/>
              <w:right w:type="dxa" w:w="90"/>
            </w:tcMar>
            <w:vAlign w:val="center"/>
          </w:tcPr>
          <w:p>
            <w:pPr>
              <w:spacing w:after="0"/>
            </w:pPr>
            <w:r>
              <w:rPr>
                <w:rFonts w:ascii="Calibri" w:cs="Calibri" w:eastAsia="Calibri" w:hAnsi="Calibri"/>
                <w:b/>
                <w:bCs/>
                <w:color w:val="B8860B"/>
                <w:sz w:val="18"/>
                <w:szCs w:val="18"/>
              </w:rPr>
              <w:t xml:space="preserve">⚠ LIMITED</w:t>
            </w:r>
          </w:p>
        </w:tc>
      </w:tr>
      <w:tr>
        <w:tc>
          <w:tcPr>
            <w:tcW w:type="dxa" w:w="36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960 GB 4K random read</w:t>
            </w:r>
          </w:p>
        </w:tc>
        <w:tc>
          <w:tcPr>
            <w:tcW w:type="dxa" w:w="275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443K / 443K IOPS</w:t>
            </w:r>
          </w:p>
        </w:tc>
        <w:tc>
          <w:tcPr>
            <w:tcW w:type="dxa" w:w="225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link-bound (1.8 GB/s wall)</w:t>
            </w:r>
          </w:p>
        </w:tc>
        <w:tc>
          <w:tcPr>
            <w:tcW w:type="dxa" w:w="1300"/>
            <w:shd w:fill="FFFFFF" w:color="auto" w:val="clear"/>
            <w:tcMar>
              <w:top w:type="dxa" w:w="40"/>
              <w:left w:type="dxa" w:w="90"/>
              <w:bottom w:type="dxa" w:w="40"/>
              <w:right w:type="dxa" w:w="90"/>
            </w:tcMar>
            <w:vAlign w:val="center"/>
          </w:tcPr>
          <w:p>
            <w:pPr>
              <w:spacing w:after="0"/>
            </w:pPr>
            <w:r>
              <w:rPr>
                <w:rFonts w:ascii="Calibri" w:cs="Calibri" w:eastAsia="Calibri" w:hAnsi="Calibri"/>
                <w:b/>
                <w:bCs/>
                <w:color w:val="B8860B"/>
                <w:sz w:val="18"/>
                <w:szCs w:val="18"/>
              </w:rPr>
              <w:t xml:space="preserve">⚠ LIMITED</w:t>
            </w:r>
          </w:p>
        </w:tc>
      </w:tr>
      <w:tr>
        <w:tc>
          <w:tcPr>
            <w:tcW w:type="dxa" w:w="36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SMART health (all 4 drives)</w:t>
            </w:r>
          </w:p>
        </w:tc>
        <w:tc>
          <w:tcPr>
            <w:tcW w:type="dxa" w:w="275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 errors • 0% wear • 0 warnings</w:t>
            </w:r>
          </w:p>
        </w:tc>
        <w:tc>
          <w:tcPr>
            <w:tcW w:type="dxa" w:w="225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 / 0 (new)</w:t>
            </w:r>
          </w:p>
        </w:tc>
        <w:tc>
          <w:tcPr>
            <w:tcW w:type="dxa" w:w="1300"/>
            <w:shd w:fill="F2F2F2"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PASS</w:t>
            </w:r>
          </w:p>
        </w:tc>
      </w:tr>
      <w:tr>
        <w:tc>
          <w:tcPr>
            <w:tcW w:type="dxa" w:w="36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Thermals under load (peak)</w:t>
            </w:r>
          </w:p>
        </w:tc>
        <w:tc>
          <w:tcPr>
            <w:tcW w:type="dxa" w:w="275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PM1743 ≤ 32 °C • 960 GB ≤ 42 °C</w:t>
            </w:r>
          </w:p>
        </w:tc>
        <w:tc>
          <w:tcPr>
            <w:tcW w:type="dxa" w:w="225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no throttle &lt; 70 °C</w:t>
            </w:r>
          </w:p>
        </w:tc>
        <w:tc>
          <w:tcPr>
            <w:tcW w:type="dxa" w:w="1300"/>
            <w:shd w:fill="FFFFFF"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PASS</w:t>
            </w:r>
          </w:p>
        </w:tc>
      </w:tr>
    </w:tbl>
    <w:p>
      <w:pPr>
        <w:spacing w:after="60" w:before="0"/>
      </w:pPr>
      <w:r>
        <w:rPr>
          <w:rFonts w:ascii="Calibri" w:cs="Calibri" w:eastAsia="Calibri" w:hAnsi="Calibri"/>
          <w:b/>
          <w:bCs/>
          <w:sz w:val="19"/>
          <w:szCs w:val="19"/>
        </w:rPr>
        <w:t xml:space="preserve">Bottom line: </w:t>
      </w:r>
      <w:r>
        <w:rPr>
          <w:rFonts w:ascii="Calibri" w:cs="Calibri" w:eastAsia="Calibri" w:hAnsi="Calibri"/>
          <w:sz w:val="19"/>
          <w:szCs w:val="19"/>
        </w:rPr>
        <w:t xml:space="preserve">the two Samsung PM1743 15.36 TB drives are validated for production at full PCIe Gen5 x4 — ~12.3 GB/s sequential read, 7.06 GB/s write, ~1.75 million 4K read IOPS, and 12 µs QD1 write latency, with perfect health. The two 960 GB drives are functionally healthy but </w:t>
      </w:r>
      <w:r>
        <w:rPr>
          <w:rFonts w:ascii="Calibri" w:cs="Calibri" w:eastAsia="Calibri" w:hAnsi="Calibri"/>
          <w:sz w:val="19"/>
          <w:szCs w:val="19"/>
        </w:rPr>
        <w:t xml:space="preserve">severely throughput-limited: their PCIe link negotiated at Gen3 x2 instead of Gen4 x4, capping them at ~1.87 GB/s read and ~443K 4K IOPS (the 1.8 GB/s x2 ceiling) — about 25% of what the hardware can deliver. This is a platform/slot link-training fault, not a drive defect, and must be corrected before these drives are qualified.</w:t>
      </w:r>
    </w:p>
    <w:p>
      <w:pPr>
        <w:spacing w:after="130" w:before="220"/>
      </w:pPr>
      <w:r>
        <w:rPr>
          <w:rFonts w:ascii="Calibri" w:cs="Calibri" w:eastAsia="Calibri" w:hAnsi="Calibri"/>
          <w:b/>
          <w:bCs/>
          <w:color w:val="C00000"/>
          <w:sz w:val="26"/>
          <w:szCs w:val="26"/>
        </w:rPr>
        <w:t xml:space="preserve">2. Test Environment &amp; Methodology</w:t>
      </w:r>
    </w:p>
    <w:tbl>
      <w:tblPr>
        <w:tblW w:type="dxa" w:w="990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dxa" w:w="29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Server</w:t>
            </w:r>
          </w:p>
        </w:tc>
        <w:tc>
          <w:tcPr>
            <w:tcW w:type="dxa" w:w="7006"/>
            <w:tcMar>
              <w:top w:type="dxa" w:w="40"/>
              <w:left w:type="dxa" w:w="90"/>
              <w:bottom w:type="dxa" w:w="40"/>
              <w:right w:type="dxa" w:w="90"/>
            </w:tcMar>
            <w:vAlign w:val="center"/>
          </w:tcPr>
          <w:p>
            <w:pPr>
              <w:spacing w:after="0"/>
            </w:pPr>
            <w:r>
              <w:rPr>
                <w:rFonts w:ascii="Calibri" w:cs="Calibri" w:eastAsia="Calibri" w:hAnsi="Calibri"/>
                <w:sz w:val="19"/>
                <w:szCs w:val="19"/>
              </w:rPr>
              <w:t xml:space="preserve">Tyrone Systems MDA200A2N-224 at 172.16.13.217 (baseboard MH12XM)</w:t>
            </w:r>
          </w:p>
        </w:tc>
      </w:tr>
      <w:tr>
        <w:tc>
          <w:tcPr>
            <w:tcW w:type="dxa" w:w="29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BIOS</w:t>
            </w:r>
          </w:p>
        </w:tc>
        <w:tc>
          <w:tcPr>
            <w:tcW w:type="dxa" w:w="7006"/>
            <w:tcMar>
              <w:top w:type="dxa" w:w="40"/>
              <w:left w:type="dxa" w:w="90"/>
              <w:bottom w:type="dxa" w:w="40"/>
              <w:right w:type="dxa" w:w="90"/>
            </w:tcMar>
            <w:vAlign w:val="center"/>
          </w:tcPr>
          <w:p>
            <w:pPr>
              <w:spacing w:after="0"/>
            </w:pPr>
            <w:r>
              <w:rPr>
                <w:rFonts w:ascii="Calibri" w:cs="Calibri" w:eastAsia="Calibri" w:hAnsi="Calibri"/>
                <w:sz w:val="19"/>
                <w:szCs w:val="19"/>
              </w:rPr>
              <w:t xml:space="preserve">AMI ES312AMS.205T8 • 26 Mar 2026</w:t>
            </w:r>
          </w:p>
        </w:tc>
      </w:tr>
      <w:tr>
        <w:tc>
          <w:tcPr>
            <w:tcW w:type="dxa" w:w="29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BMC firmware</w:t>
            </w:r>
          </w:p>
        </w:tc>
        <w:tc>
          <w:tcPr>
            <w:tcW w:type="dxa" w:w="7006"/>
            <w:tcMar>
              <w:top w:type="dxa" w:w="40"/>
              <w:left w:type="dxa" w:w="90"/>
              <w:bottom w:type="dxa" w:w="40"/>
              <w:right w:type="dxa" w:w="90"/>
            </w:tcMar>
            <w:vAlign w:val="center"/>
          </w:tcPr>
          <w:p>
            <w:pPr>
              <w:spacing w:after="0"/>
            </w:pPr>
            <w:r>
              <w:rPr>
                <w:rFonts w:ascii="Calibri" w:cs="Calibri" w:eastAsia="Calibri" w:hAnsi="Calibri"/>
                <w:sz w:val="19"/>
                <w:szCs w:val="19"/>
              </w:rPr>
              <w:t xml:space="preserve">1.08</w:t>
            </w:r>
          </w:p>
        </w:tc>
      </w:tr>
      <w:tr>
        <w:tc>
          <w:tcPr>
            <w:tcW w:type="dxa" w:w="29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CPU</w:t>
            </w:r>
          </w:p>
        </w:tc>
        <w:tc>
          <w:tcPr>
            <w:tcW w:type="dxa" w:w="7006"/>
            <w:tcMar>
              <w:top w:type="dxa" w:w="40"/>
              <w:left w:type="dxa" w:w="90"/>
              <w:bottom w:type="dxa" w:w="40"/>
              <w:right w:type="dxa" w:w="90"/>
            </w:tcMar>
            <w:vAlign w:val="center"/>
          </w:tcPr>
          <w:p>
            <w:pPr>
              <w:spacing w:after="0"/>
            </w:pPr>
            <w:r>
              <w:rPr>
                <w:rFonts w:ascii="Calibri" w:cs="Calibri" w:eastAsia="Calibri" w:hAnsi="Calibri"/>
                <w:sz w:val="19"/>
                <w:szCs w:val="19"/>
              </w:rPr>
              <w:t xml:space="preserve">2 × AMD EPYC 9135 (16C/32T each = 32C/64T)</w:t>
            </w:r>
          </w:p>
        </w:tc>
      </w:tr>
      <w:tr>
        <w:tc>
          <w:tcPr>
            <w:tcW w:type="dxa" w:w="29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NUMA</w:t>
            </w:r>
          </w:p>
        </w:tc>
        <w:tc>
          <w:tcPr>
            <w:tcW w:type="dxa" w:w="7006"/>
            <w:tcMar>
              <w:top w:type="dxa" w:w="40"/>
              <w:left w:type="dxa" w:w="90"/>
              <w:bottom w:type="dxa" w:w="40"/>
              <w:right w:type="dxa" w:w="90"/>
            </w:tcMar>
            <w:vAlign w:val="center"/>
          </w:tcPr>
          <w:p>
            <w:pPr>
              <w:spacing w:after="0"/>
            </w:pPr>
            <w:r>
              <w:rPr>
                <w:rFonts w:ascii="Calibri" w:cs="Calibri" w:eastAsia="Calibri" w:hAnsi="Calibri"/>
                <w:sz w:val="19"/>
                <w:szCs w:val="19"/>
              </w:rPr>
              <w:t xml:space="preserve">2 nodes — node0 = CPUs 0-15,32-47 • node1 = CPUs 16-31,48-63</w:t>
            </w:r>
          </w:p>
        </w:tc>
      </w:tr>
      <w:tr>
        <w:tc>
          <w:tcPr>
            <w:tcW w:type="dxa" w:w="29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OS / kernel</w:t>
            </w:r>
          </w:p>
        </w:tc>
        <w:tc>
          <w:tcPr>
            <w:tcW w:type="dxa" w:w="7006"/>
            <w:tcMar>
              <w:top w:type="dxa" w:w="40"/>
              <w:left w:type="dxa" w:w="90"/>
              <w:bottom w:type="dxa" w:w="40"/>
              <w:right w:type="dxa" w:w="90"/>
            </w:tcMar>
            <w:vAlign w:val="center"/>
          </w:tcPr>
          <w:p>
            <w:pPr>
              <w:spacing w:after="0"/>
            </w:pPr>
            <w:r>
              <w:rPr>
                <w:rFonts w:ascii="Calibri" w:cs="Calibri" w:eastAsia="Calibri" w:hAnsi="Calibri"/>
                <w:sz w:val="19"/>
                <w:szCs w:val="19"/>
              </w:rPr>
              <w:t xml:space="preserve">Ubuntu 22.04.4 LTS / Linux 6.8.0-117-generic</w:t>
            </w:r>
          </w:p>
        </w:tc>
      </w:tr>
      <w:tr>
        <w:tc>
          <w:tcPr>
            <w:tcW w:type="dxa" w:w="29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RAM</w:t>
            </w:r>
          </w:p>
        </w:tc>
        <w:tc>
          <w:tcPr>
            <w:tcW w:type="dxa" w:w="7006"/>
            <w:tcMar>
              <w:top w:type="dxa" w:w="40"/>
              <w:left w:type="dxa" w:w="90"/>
              <w:bottom w:type="dxa" w:w="40"/>
              <w:right w:type="dxa" w:w="90"/>
            </w:tcMar>
            <w:vAlign w:val="center"/>
          </w:tcPr>
          <w:p>
            <w:pPr>
              <w:spacing w:after="0"/>
            </w:pPr>
            <w:r>
              <w:rPr>
                <w:rFonts w:ascii="Calibri" w:cs="Calibri" w:eastAsia="Calibri" w:hAnsi="Calibri"/>
                <w:sz w:val="19"/>
                <w:szCs w:val="19"/>
              </w:rPr>
              <w:t xml:space="preserve">1.13 TiB (system idle during storage test)</w:t>
            </w:r>
          </w:p>
        </w:tc>
      </w:tr>
      <w:tr>
        <w:tc>
          <w:tcPr>
            <w:tcW w:type="dxa" w:w="29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Benchmark tool</w:t>
            </w:r>
          </w:p>
        </w:tc>
        <w:tc>
          <w:tcPr>
            <w:tcW w:type="dxa" w:w="7006"/>
            <w:tcMar>
              <w:top w:type="dxa" w:w="40"/>
              <w:left w:type="dxa" w:w="90"/>
              <w:bottom w:type="dxa" w:w="40"/>
              <w:right w:type="dxa" w:w="90"/>
            </w:tcMar>
            <w:vAlign w:val="center"/>
          </w:tcPr>
          <w:p>
            <w:pPr>
              <w:spacing w:after="0"/>
            </w:pPr>
            <w:r>
              <w:rPr>
                <w:rFonts w:ascii="Calibri" w:cs="Calibri" w:eastAsia="Calibri" w:hAnsi="Calibri"/>
                <w:sz w:val="19"/>
                <w:szCs w:val="19"/>
              </w:rPr>
              <w:t xml:space="preserve">fio 3.28 • ioengine=libaio • direct=1 (O_DIRECT, raw block device)</w:t>
            </w:r>
          </w:p>
        </w:tc>
      </w:tr>
      <w:tr>
        <w:tc>
          <w:tcPr>
            <w:tcW w:type="dxa" w:w="2900"/>
            <w:shd w:fill="EDEDED" w:color="auto" w:val="clear"/>
            <w:tcMar>
              <w:top w:type="dxa" w:w="40"/>
              <w:left w:type="dxa" w:w="90"/>
              <w:bottom w:type="dxa" w:w="40"/>
              <w:right w:type="dxa" w:w="90"/>
            </w:tcMar>
            <w:vAlign w:val="center"/>
          </w:tcPr>
          <w:p>
            <w:pPr>
              <w:spacing w:after="0"/>
            </w:pPr>
            <w:r>
              <w:rPr>
                <w:rFonts w:ascii="Calibri" w:cs="Calibri" w:eastAsia="Calibri" w:hAnsi="Calibri"/>
                <w:b/>
                <w:bCs/>
                <w:sz w:val="19"/>
                <w:szCs w:val="19"/>
              </w:rPr>
              <w:t xml:space="preserve">NVMe tooling</w:t>
            </w:r>
          </w:p>
        </w:tc>
        <w:tc>
          <w:tcPr>
            <w:tcW w:type="dxa" w:w="7006"/>
            <w:tcMar>
              <w:top w:type="dxa" w:w="40"/>
              <w:left w:type="dxa" w:w="90"/>
              <w:bottom w:type="dxa" w:w="40"/>
              <w:right w:type="dxa" w:w="90"/>
            </w:tcMar>
            <w:vAlign w:val="center"/>
          </w:tcPr>
          <w:p>
            <w:pPr>
              <w:spacing w:after="0"/>
            </w:pPr>
            <w:r>
              <w:rPr>
                <w:rFonts w:ascii="Calibri" w:cs="Calibri" w:eastAsia="Calibri" w:hAnsi="Calibri"/>
                <w:sz w:val="19"/>
                <w:szCs w:val="19"/>
              </w:rPr>
              <w:t xml:space="preserve">nvme-cli 1.16 • numactl pinning per drive's local NUMA node</w:t>
            </w:r>
          </w:p>
        </w:tc>
      </w:tr>
    </w:tbl>
    <w:p>
      <w:pPr>
        <w:spacing w:after="90" w:before="160"/>
      </w:pPr>
      <w:r>
        <w:rPr>
          <w:rFonts w:ascii="Calibri" w:cs="Calibri" w:eastAsia="Calibri" w:hAnsi="Calibri"/>
          <w:b/>
          <w:bCs/>
          <w:color w:val="1F3864"/>
          <w:sz w:val="21"/>
          <w:szCs w:val="21"/>
        </w:rPr>
        <w:t xml:space="preserve">2.1  Drives under test</w:t>
      </w:r>
    </w:p>
    <w:tbl>
      <w:tblPr>
        <w:tblW w:type="dxa" w:w="990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dxa" w:w="95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Dev</w:t>
            </w:r>
          </w:p>
        </w:tc>
        <w:tc>
          <w:tcPr>
            <w:tcW w:type="dxa" w:w="35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Model (P/N)</w:t>
            </w:r>
          </w:p>
        </w:tc>
        <w:tc>
          <w:tcPr>
            <w:tcW w:type="dxa" w:w="23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Class / capacity</w:t>
            </w:r>
          </w:p>
        </w:tc>
        <w:tc>
          <w:tcPr>
            <w:tcW w:type="dxa" w:w="65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NUMA</w:t>
            </w:r>
          </w:p>
        </w:tc>
        <w:tc>
          <w:tcPr>
            <w:tcW w:type="dxa" w:w="12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PCIe link</w:t>
            </w:r>
          </w:p>
        </w:tc>
        <w:tc>
          <w:tcPr>
            <w:tcW w:type="dxa" w:w="1306"/>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LBA / FW</w:t>
            </w:r>
          </w:p>
        </w:tc>
      </w:tr>
      <w:tr>
        <w:tc>
          <w:tcPr>
            <w:tcW w:type="dxa" w:w="95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nvme0n1</w:t>
            </w:r>
          </w:p>
        </w:tc>
        <w:tc>
          <w:tcPr>
            <w:tcW w:type="dxa" w:w="35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Samsung MZWL615THBLF-00AW7 (PM1743)</w:t>
            </w:r>
          </w:p>
        </w:tc>
        <w:tc>
          <w:tcPr>
            <w:tcW w:type="dxa" w:w="23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Gen5 enterprise U.2 • 15.36 TB</w:t>
            </w:r>
          </w:p>
        </w:tc>
        <w:tc>
          <w:tcPr>
            <w:tcW w:type="dxa" w:w="65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w:t>
            </w:r>
          </w:p>
        </w:tc>
        <w:tc>
          <w:tcPr>
            <w:tcW w:type="dxa" w:w="12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Gen5 x4 ✓</w:t>
            </w:r>
          </w:p>
        </w:tc>
        <w:tc>
          <w:tcPr>
            <w:tcW w:type="dxa" w:w="13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512B • LDDM7U2Q</w:t>
            </w:r>
          </w:p>
        </w:tc>
      </w:tr>
      <w:tr>
        <w:tc>
          <w:tcPr>
            <w:tcW w:type="dxa" w:w="95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nvme1n1</w:t>
            </w:r>
          </w:p>
        </w:tc>
        <w:tc>
          <w:tcPr>
            <w:tcW w:type="dxa" w:w="35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Samsung MZWL615THBLF-00AW7 (PM1743)</w:t>
            </w:r>
          </w:p>
        </w:tc>
        <w:tc>
          <w:tcPr>
            <w:tcW w:type="dxa" w:w="23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Gen5 enterprise U.2 • 15.36 TB</w:t>
            </w:r>
          </w:p>
        </w:tc>
        <w:tc>
          <w:tcPr>
            <w:tcW w:type="dxa" w:w="65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w:t>
            </w:r>
          </w:p>
        </w:tc>
        <w:tc>
          <w:tcPr>
            <w:tcW w:type="dxa" w:w="12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Gen5 x4 ✓</w:t>
            </w:r>
          </w:p>
        </w:tc>
        <w:tc>
          <w:tcPr>
            <w:tcW w:type="dxa" w:w="130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512B • LDDM7U2Q</w:t>
            </w:r>
          </w:p>
        </w:tc>
      </w:tr>
      <w:tr>
        <w:tc>
          <w:tcPr>
            <w:tcW w:type="dxa" w:w="95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nvme2n1</w:t>
            </w:r>
          </w:p>
        </w:tc>
        <w:tc>
          <w:tcPr>
            <w:tcW w:type="dxa" w:w="35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Samsung MZVL6960HFLB-01AW7 (PM9-series)</w:t>
            </w:r>
          </w:p>
        </w:tc>
        <w:tc>
          <w:tcPr>
            <w:tcW w:type="dxa" w:w="23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Client M.2 • 960 GB</w:t>
            </w:r>
          </w:p>
        </w:tc>
        <w:tc>
          <w:tcPr>
            <w:tcW w:type="dxa" w:w="65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2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Gen3 x2 ✗</w:t>
            </w:r>
          </w:p>
        </w:tc>
        <w:tc>
          <w:tcPr>
            <w:tcW w:type="dxa" w:w="13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512B • LDDD2U2Q</w:t>
            </w:r>
          </w:p>
        </w:tc>
      </w:tr>
      <w:tr>
        <w:tc>
          <w:tcPr>
            <w:tcW w:type="dxa" w:w="95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nvme3n1</w:t>
            </w:r>
          </w:p>
        </w:tc>
        <w:tc>
          <w:tcPr>
            <w:tcW w:type="dxa" w:w="35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Samsung MZVL6960HFLB-01AW7 (PM9-series)</w:t>
            </w:r>
          </w:p>
        </w:tc>
        <w:tc>
          <w:tcPr>
            <w:tcW w:type="dxa" w:w="23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Client M.2 • 960 GB</w:t>
            </w:r>
          </w:p>
        </w:tc>
        <w:tc>
          <w:tcPr>
            <w:tcW w:type="dxa" w:w="65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2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Gen3 x2 ✗</w:t>
            </w:r>
          </w:p>
        </w:tc>
        <w:tc>
          <w:tcPr>
            <w:tcW w:type="dxa" w:w="130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512B • LDDD2U2Q</w:t>
            </w:r>
          </w:p>
        </w:tc>
      </w:tr>
    </w:tbl>
    <w:p>
      <w:pPr>
        <w:spacing w:after="120" w:before="60"/>
      </w:pPr>
      <w:r>
        <w:rPr>
          <w:rFonts w:ascii="Calibri" w:cs="Calibri" w:eastAsia="Calibri" w:hAnsi="Calibri"/>
          <w:i/>
          <w:iCs/>
          <w:color w:val="555555"/>
          <w:sz w:val="17"/>
          <w:szCs w:val="17"/>
        </w:rPr>
        <w:t xml:space="preserve">All namespaces are 512-byte logical-block (lbads=9). Drives nvme0/1 carried a stale, empty GPT (no filesystem/data) which was cleared before testing, with the customer's authorization for destructive raw-device benchmarking on all four drives.</w:t>
      </w:r>
    </w:p>
    <w:p>
      <w:pPr>
        <w:spacing w:after="90" w:before="160"/>
      </w:pPr>
      <w:r>
        <w:rPr>
          <w:rFonts w:ascii="Calibri" w:cs="Calibri" w:eastAsia="Calibri" w:hAnsi="Calibri"/>
          <w:b/>
          <w:bCs/>
          <w:color w:val="1F3864"/>
          <w:sz w:val="21"/>
          <w:szCs w:val="21"/>
        </w:rPr>
        <w:t xml:space="preserve">2.2  Methodology — per-drive fio suite</w:t>
      </w:r>
    </w:p>
    <w:tbl>
      <w:tblPr>
        <w:tblW w:type="dxa" w:w="990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20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Test</w:t>
            </w:r>
          </w:p>
        </w:tc>
        <w:tc>
          <w:tcPr>
            <w:tcW w:type="dxa" w:w="50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fio configuration</w:t>
            </w:r>
          </w:p>
        </w:tc>
        <w:tc>
          <w:tcPr>
            <w:tcW w:type="dxa" w:w="2906"/>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Purpose</w:t>
            </w:r>
          </w:p>
        </w:tc>
      </w:tr>
      <w:tr>
        <w:tc>
          <w:tcPr>
            <w:tcW w:type="dxa" w:w="20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Precondition + Seq write</w:t>
            </w:r>
          </w:p>
        </w:tc>
        <w:tc>
          <w:tcPr>
            <w:tcW w:type="dxa" w:w="50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rw=write bs=1M iodepth=32 numjobs=4 (256G/128G region)</w:t>
            </w:r>
          </w:p>
        </w:tc>
        <w:tc>
          <w:tcPr>
            <w:tcW w:type="dxa" w:w="29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Peak write BW; fill test region for valid reads</w:t>
            </w:r>
          </w:p>
        </w:tc>
      </w:tr>
      <w:tr>
        <w:tc>
          <w:tcPr>
            <w:tcW w:type="dxa" w:w="20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Seq read</w:t>
            </w:r>
          </w:p>
        </w:tc>
        <w:tc>
          <w:tcPr>
            <w:tcW w:type="dxa" w:w="50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rw=read bs=1M iodepth=32 numjobs=4</w:t>
            </w:r>
          </w:p>
        </w:tc>
        <w:tc>
          <w:tcPr>
            <w:tcW w:type="dxa" w:w="290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Peak sequential read bandwidth</w:t>
            </w:r>
          </w:p>
        </w:tc>
      </w:tr>
      <w:tr>
        <w:tc>
          <w:tcPr>
            <w:tcW w:type="dxa" w:w="20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Rand write 4K</w:t>
            </w:r>
          </w:p>
        </w:tc>
        <w:tc>
          <w:tcPr>
            <w:tcW w:type="dxa" w:w="50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rw=randwrite bs=4k iodepth=128 numjobs=4, 60s</w:t>
            </w:r>
          </w:p>
        </w:tc>
        <w:tc>
          <w:tcPr>
            <w:tcW w:type="dxa" w:w="29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Fresh-state 4K write IOPS</w:t>
            </w:r>
          </w:p>
        </w:tc>
      </w:tr>
      <w:tr>
        <w:tc>
          <w:tcPr>
            <w:tcW w:type="dxa" w:w="20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Rand read 4K</w:t>
            </w:r>
          </w:p>
        </w:tc>
        <w:tc>
          <w:tcPr>
            <w:tcW w:type="dxa" w:w="50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rw=randread bs=4k iodepth=128 numjobs=4, 60s</w:t>
            </w:r>
          </w:p>
        </w:tc>
        <w:tc>
          <w:tcPr>
            <w:tcW w:type="dxa" w:w="290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4K read IOPS (QD512 aggregate)</w:t>
            </w:r>
          </w:p>
        </w:tc>
      </w:tr>
      <w:tr>
        <w:tc>
          <w:tcPr>
            <w:tcW w:type="dxa" w:w="20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Mixed 70/30</w:t>
            </w:r>
          </w:p>
        </w:tc>
        <w:tc>
          <w:tcPr>
            <w:tcW w:type="dxa" w:w="50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rw=randrw rwmixread=70 bs=4k iodepth=64 numjobs=4</w:t>
            </w:r>
          </w:p>
        </w:tc>
        <w:tc>
          <w:tcPr>
            <w:tcW w:type="dxa" w:w="29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Blended OLTP-style workload</w:t>
            </w:r>
          </w:p>
        </w:tc>
      </w:tr>
      <w:tr>
        <w:tc>
          <w:tcPr>
            <w:tcW w:type="dxa" w:w="20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QD1 latency</w:t>
            </w:r>
          </w:p>
        </w:tc>
        <w:tc>
          <w:tcPr>
            <w:tcW w:type="dxa" w:w="50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bs=4k iodepth=1 numjobs=1 (read, then write), 30s</w:t>
            </w:r>
          </w:p>
        </w:tc>
        <w:tc>
          <w:tcPr>
            <w:tcW w:type="dxa" w:w="290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Single-IO service latency (avg + p99)</w:t>
            </w:r>
          </w:p>
        </w:tc>
      </w:tr>
    </w:tbl>
    <w:p>
      <w:pPr>
        <w:spacing w:after="130" w:before="220"/>
      </w:pPr>
      <w:r>
        <w:rPr>
          <w:rFonts w:ascii="Calibri" w:cs="Calibri" w:eastAsia="Calibri" w:hAnsi="Calibri"/>
          <w:b/>
          <w:bCs/>
          <w:color w:val="C00000"/>
          <w:sz w:val="26"/>
          <w:szCs w:val="26"/>
        </w:rPr>
        <w:t xml:space="preserve">3. Performance Results</w:t>
      </w:r>
    </w:p>
    <w:p>
      <w:pPr>
        <w:spacing w:after="40" w:before="80"/>
        <w:jc w:val="center"/>
      </w:pPr>
      <w:r>
        <w:drawing>
          <wp:inline distT="0" distB="0" distL="0" distR="0">
            <wp:extent cx="6096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771650"/>
                    </a:xfrm>
                    <a:prstGeom prst="rect">
                      <a:avLst/>
                    </a:prstGeom>
                  </pic:spPr>
                </pic:pic>
              </a:graphicData>
            </a:graphic>
          </wp:inline>
        </w:drawing>
      </w:r>
    </w:p>
    <w:p>
      <w:pPr>
        <w:spacing w:after="160"/>
        <w:jc w:val="center"/>
      </w:pPr>
      <w:r>
        <w:rPr>
          <w:rFonts w:ascii="Calibri" w:cs="Calibri" w:eastAsia="Calibri" w:hAnsi="Calibri"/>
          <w:i/>
          <w:iCs/>
          <w:color w:val="666666"/>
          <w:sz w:val="16"/>
          <w:szCs w:val="16"/>
        </w:rPr>
        <w:t xml:space="preserve">Figure 1 — Sequential bandwidth, 4K random IOPS, and QD1 latency across all four drives.</w:t>
      </w:r>
    </w:p>
    <w:p>
      <w:pPr>
        <w:spacing w:after="90" w:before="160"/>
      </w:pPr>
      <w:r>
        <w:rPr>
          <w:rFonts w:ascii="Calibri" w:cs="Calibri" w:eastAsia="Calibri" w:hAnsi="Calibri"/>
          <w:b/>
          <w:bCs/>
          <w:color w:val="1F3864"/>
          <w:sz w:val="21"/>
          <w:szCs w:val="21"/>
        </w:rPr>
        <w:t xml:space="preserve">3.1  Measured results — all metrics</w:t>
      </w:r>
    </w:p>
    <w:tbl>
      <w:tblPr>
        <w:tblW w:type="dxa" w:w="990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tcW w:type="dxa" w:w="3106"/>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Metric</w:t>
            </w:r>
          </w:p>
        </w:tc>
        <w:tc>
          <w:tcPr>
            <w:tcW w:type="dxa" w:w="17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nvme0 (PM1743)</w:t>
            </w:r>
          </w:p>
        </w:tc>
        <w:tc>
          <w:tcPr>
            <w:tcW w:type="dxa" w:w="17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nvme1 (PM1743)</w:t>
            </w:r>
          </w:p>
        </w:tc>
        <w:tc>
          <w:tcPr>
            <w:tcW w:type="dxa" w:w="17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nvme2 (960G)</w:t>
            </w:r>
          </w:p>
        </w:tc>
        <w:tc>
          <w:tcPr>
            <w:tcW w:type="dxa" w:w="17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nvme3 (960G)</w:t>
            </w:r>
          </w:p>
        </w:tc>
      </w:tr>
      <w:tr>
        <w:tc>
          <w:tcPr>
            <w:tcW w:type="dxa" w:w="31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Seq read (GB/s)</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12.22</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12.32</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1.87</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1.87</w:t>
            </w:r>
          </w:p>
        </w:tc>
      </w:tr>
      <w:tr>
        <w:tc>
          <w:tcPr>
            <w:tcW w:type="dxa" w:w="310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Seq write (GB/s)</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7.06</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7.06</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1.62</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1.62</w:t>
            </w:r>
          </w:p>
        </w:tc>
      </w:tr>
      <w:tr>
        <w:tc>
          <w:tcPr>
            <w:tcW w:type="dxa" w:w="31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Rand read 4K (IOPS)</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1,760,240</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1,744,989</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443,231</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443,237</w:t>
            </w:r>
          </w:p>
        </w:tc>
      </w:tr>
      <w:tr>
        <w:tc>
          <w:tcPr>
            <w:tcW w:type="dxa" w:w="310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Rand write 4K (IOPS)*</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1,717,838</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1,718,100</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395,459</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395,547</w:t>
            </w:r>
          </w:p>
        </w:tc>
      </w:tr>
      <w:tr>
        <w:tc>
          <w:tcPr>
            <w:tcW w:type="dxa" w:w="31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Mixed 70/30 read (IOPS)</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1,009,576</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1,009,085</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329,432</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328,439</w:t>
            </w:r>
          </w:p>
        </w:tc>
      </w:tr>
      <w:tr>
        <w:tc>
          <w:tcPr>
            <w:tcW w:type="dxa" w:w="310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Mixed 70/30 write (IOPS)</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432,811</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432,442</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141,178</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140,792</w:t>
            </w:r>
          </w:p>
        </w:tc>
      </w:tr>
      <w:tr>
        <w:tc>
          <w:tcPr>
            <w:tcW w:type="dxa" w:w="31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QD1 read latency (µs avg)</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69.1</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68.5</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66.5</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66.2</w:t>
            </w:r>
          </w:p>
        </w:tc>
      </w:tr>
      <w:tr>
        <w:tc>
          <w:tcPr>
            <w:tcW w:type="dxa" w:w="310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QD1 write latency (µs avg)</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11.8</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12.0</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15.5</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15.5</w:t>
            </w:r>
          </w:p>
        </w:tc>
      </w:tr>
      <w:tr>
        <w:tc>
          <w:tcPr>
            <w:tcW w:type="dxa" w:w="31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Rand read p99 (µs)</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469</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469</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3621</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3588</w:t>
            </w:r>
          </w:p>
        </w:tc>
      </w:tr>
    </w:tbl>
    <w:p>
      <w:pPr>
        <w:spacing w:after="120" w:before="70"/>
      </w:pPr>
      <w:r>
        <w:rPr>
          <w:rFonts w:ascii="Calibri" w:cs="Calibri" w:eastAsia="Calibri" w:hAnsi="Calibri"/>
          <w:i/>
          <w:iCs/>
          <w:color w:val="555555"/>
          <w:sz w:val="17"/>
          <w:szCs w:val="17"/>
        </w:rPr>
        <w:t xml:space="preserve">* Random-write IOPS are fresh-state (burst) figures: each test region was sequentially preconditioned once, but full steady-state preconditioning of the entire 15.36 TB span was outside the 3-hour window. Steady-state 4K random write on the PM1743 settles well below the burst figure (datasheet ~250–360K); the 960 GB random figures are bounded by the Gen3 x2 link, not the NAND.</w:t>
      </w:r>
    </w:p>
    <w:p>
      <w:pPr>
        <w:spacing w:after="130" w:before="220"/>
      </w:pPr>
      <w:r>
        <w:rPr>
          <w:rFonts w:ascii="Calibri" w:cs="Calibri" w:eastAsia="Calibri" w:hAnsi="Calibri"/>
          <w:b/>
          <w:bCs/>
          <w:color w:val="C00000"/>
          <w:sz w:val="26"/>
          <w:szCs w:val="26"/>
        </w:rPr>
        <w:t xml:space="preserve">4. PCIe Link Validation &amp; Drive Health</w:t>
      </w:r>
    </w:p>
    <w:p>
      <w:pPr>
        <w:spacing w:after="40" w:before="80"/>
        <w:jc w:val="center"/>
      </w:pPr>
      <w:r>
        <w:drawing>
          <wp:inline distT="0" distB="0" distL="0" distR="0">
            <wp:extent cx="5143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05075"/>
                    </a:xfrm>
                    <a:prstGeom prst="rect">
                      <a:avLst/>
                    </a:prstGeom>
                  </pic:spPr>
                </pic:pic>
              </a:graphicData>
            </a:graphic>
          </wp:inline>
        </w:drawing>
      </w:r>
    </w:p>
    <w:p>
      <w:pPr>
        <w:spacing w:after="160"/>
        <w:jc w:val="center"/>
      </w:pPr>
      <w:r>
        <w:rPr>
          <w:rFonts w:ascii="Calibri" w:cs="Calibri" w:eastAsia="Calibri" w:hAnsi="Calibri"/>
          <w:i/>
          <w:iCs/>
          <w:color w:val="666666"/>
          <w:sz w:val="16"/>
          <w:szCs w:val="16"/>
        </w:rPr>
        <w:t xml:space="preserve">Figure 2 — PCIe link capability vs negotiated ceiling vs measured sequential read. The 960 GB drives hit the Gen3 x2 wall.</w:t>
      </w:r>
    </w:p>
    <w:p>
      <w:pPr>
        <w:spacing w:after="90" w:before="160"/>
      </w:pPr>
      <w:r>
        <w:rPr>
          <w:rFonts w:ascii="Calibri" w:cs="Calibri" w:eastAsia="Calibri" w:hAnsi="Calibri"/>
          <w:b/>
          <w:bCs/>
          <w:color w:val="1F3864"/>
          <w:sz w:val="21"/>
          <w:szCs w:val="21"/>
        </w:rPr>
        <w:t xml:space="preserve">4.1  PCIe link negotiation</w:t>
      </w:r>
    </w:p>
    <w:tbl>
      <w:tblPr>
        <w:tblW w:type="dxa" w:w="990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dxa" w:w="2706"/>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Drive</w:t>
            </w:r>
          </w:p>
        </w:tc>
        <w:tc>
          <w:tcPr>
            <w:tcW w:type="dxa" w:w="15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Capable</w:t>
            </w:r>
          </w:p>
        </w:tc>
        <w:tc>
          <w:tcPr>
            <w:tcW w:type="dxa" w:w="16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Negotiated</w:t>
            </w:r>
          </w:p>
        </w:tc>
        <w:tc>
          <w:tcPr>
            <w:tcW w:type="dxa" w:w="19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Measured read</w:t>
            </w:r>
          </w:p>
        </w:tc>
        <w:tc>
          <w:tcPr>
            <w:tcW w:type="dxa" w:w="13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 of capable</w:t>
            </w:r>
          </w:p>
        </w:tc>
        <w:tc>
          <w:tcPr>
            <w:tcW w:type="dxa" w:w="9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Status</w:t>
            </w:r>
          </w:p>
        </w:tc>
      </w:tr>
      <w:tr>
        <w:tc>
          <w:tcPr>
            <w:tcW w:type="dxa" w:w="27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nvme0n1 (PM1743)</w:t>
            </w:r>
          </w:p>
        </w:tc>
        <w:tc>
          <w:tcPr>
            <w:tcW w:type="dxa" w:w="15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Gen5 x4</w:t>
            </w:r>
          </w:p>
        </w:tc>
        <w:tc>
          <w:tcPr>
            <w:tcW w:type="dxa" w:w="16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Gen5 x4</w:t>
            </w:r>
          </w:p>
        </w:tc>
        <w:tc>
          <w:tcPr>
            <w:tcW w:type="dxa" w:w="19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12.22 GB/s</w:t>
            </w:r>
          </w:p>
        </w:tc>
        <w:tc>
          <w:tcPr>
            <w:tcW w:type="dxa" w:w="13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~87%</w:t>
            </w:r>
          </w:p>
        </w:tc>
        <w:tc>
          <w:tcPr>
            <w:tcW w:type="dxa" w:w="900"/>
            <w:shd w:fill="FFFFFF"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PASS</w:t>
            </w:r>
          </w:p>
        </w:tc>
      </w:tr>
      <w:tr>
        <w:tc>
          <w:tcPr>
            <w:tcW w:type="dxa" w:w="270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nvme1n1 (PM1743)</w:t>
            </w:r>
          </w:p>
        </w:tc>
        <w:tc>
          <w:tcPr>
            <w:tcW w:type="dxa" w:w="15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Gen5 x4</w:t>
            </w:r>
          </w:p>
        </w:tc>
        <w:tc>
          <w:tcPr>
            <w:tcW w:type="dxa" w:w="16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Gen5 x4</w:t>
            </w:r>
          </w:p>
        </w:tc>
        <w:tc>
          <w:tcPr>
            <w:tcW w:type="dxa" w:w="19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12.32 GB/s</w:t>
            </w:r>
          </w:p>
        </w:tc>
        <w:tc>
          <w:tcPr>
            <w:tcW w:type="dxa" w:w="13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~88%</w:t>
            </w:r>
          </w:p>
        </w:tc>
        <w:tc>
          <w:tcPr>
            <w:tcW w:type="dxa" w:w="900"/>
            <w:shd w:fill="F2F2F2"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PASS</w:t>
            </w:r>
          </w:p>
        </w:tc>
      </w:tr>
      <w:tr>
        <w:tc>
          <w:tcPr>
            <w:tcW w:type="dxa" w:w="27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nvme2n1 (960 GB)</w:t>
            </w:r>
          </w:p>
        </w:tc>
        <w:tc>
          <w:tcPr>
            <w:tcW w:type="dxa" w:w="15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Gen4 x4</w:t>
            </w:r>
          </w:p>
        </w:tc>
        <w:tc>
          <w:tcPr>
            <w:tcW w:type="dxa" w:w="16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Gen3 x2</w:t>
            </w:r>
          </w:p>
        </w:tc>
        <w:tc>
          <w:tcPr>
            <w:tcW w:type="dxa" w:w="19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1.87 GB/s</w:t>
            </w:r>
          </w:p>
        </w:tc>
        <w:tc>
          <w:tcPr>
            <w:tcW w:type="dxa" w:w="13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~26%</w:t>
            </w:r>
          </w:p>
        </w:tc>
        <w:tc>
          <w:tcPr>
            <w:tcW w:type="dxa" w:w="900"/>
            <w:shd w:fill="FFFFFF" w:color="auto" w:val="clear"/>
            <w:tcMar>
              <w:top w:type="dxa" w:w="40"/>
              <w:left w:type="dxa" w:w="90"/>
              <w:bottom w:type="dxa" w:w="40"/>
              <w:right w:type="dxa" w:w="90"/>
            </w:tcMar>
            <w:vAlign w:val="center"/>
          </w:tcPr>
          <w:p>
            <w:pPr>
              <w:spacing w:after="0"/>
            </w:pPr>
            <w:r>
              <w:rPr>
                <w:rFonts w:ascii="Calibri" w:cs="Calibri" w:eastAsia="Calibri" w:hAnsi="Calibri"/>
                <w:b/>
                <w:bCs/>
                <w:color w:val="C00000"/>
                <w:sz w:val="18"/>
                <w:szCs w:val="18"/>
              </w:rPr>
              <w:t xml:space="preserve">✗ FAIL</w:t>
            </w:r>
          </w:p>
        </w:tc>
      </w:tr>
      <w:tr>
        <w:tc>
          <w:tcPr>
            <w:tcW w:type="dxa" w:w="270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nvme3n1 (960 GB)</w:t>
            </w:r>
          </w:p>
        </w:tc>
        <w:tc>
          <w:tcPr>
            <w:tcW w:type="dxa" w:w="15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Gen4 x4</w:t>
            </w:r>
          </w:p>
        </w:tc>
        <w:tc>
          <w:tcPr>
            <w:tcW w:type="dxa" w:w="16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Gen3 x2</w:t>
            </w:r>
          </w:p>
        </w:tc>
        <w:tc>
          <w:tcPr>
            <w:tcW w:type="dxa" w:w="19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1.87 GB/s</w:t>
            </w:r>
          </w:p>
        </w:tc>
        <w:tc>
          <w:tcPr>
            <w:tcW w:type="dxa" w:w="13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~26%</w:t>
            </w:r>
          </w:p>
        </w:tc>
        <w:tc>
          <w:tcPr>
            <w:tcW w:type="dxa" w:w="900"/>
            <w:shd w:fill="F2F2F2" w:color="auto" w:val="clear"/>
            <w:tcMar>
              <w:top w:type="dxa" w:w="40"/>
              <w:left w:type="dxa" w:w="90"/>
              <w:bottom w:type="dxa" w:w="40"/>
              <w:right w:type="dxa" w:w="90"/>
            </w:tcMar>
            <w:vAlign w:val="center"/>
          </w:tcPr>
          <w:p>
            <w:pPr>
              <w:spacing w:after="0"/>
            </w:pPr>
            <w:r>
              <w:rPr>
                <w:rFonts w:ascii="Calibri" w:cs="Calibri" w:eastAsia="Calibri" w:hAnsi="Calibri"/>
                <w:b/>
                <w:bCs/>
                <w:color w:val="C00000"/>
                <w:sz w:val="18"/>
                <w:szCs w:val="18"/>
              </w:rPr>
              <w:t xml:space="preserve">✗ FAIL</w:t>
            </w:r>
          </w:p>
        </w:tc>
      </w:tr>
    </w:tbl>
    <w:p>
      <w:pPr>
        <w:spacing w:after="120" w:before="0"/>
      </w:pPr>
      <w:r>
        <w:rPr>
          <w:rFonts w:ascii="Calibri" w:cs="Calibri" w:eastAsia="Calibri" w:hAnsi="Calibri"/>
          <w:sz w:val="18"/>
          <w:szCs w:val="18"/>
        </w:rPr>
        <w:t xml:space="preserve">Both 960 GB drives trained to </w:t>
      </w:r>
      <w:r>
        <w:rPr>
          <w:rFonts w:ascii="Calibri" w:cs="Calibri" w:eastAsia="Calibri" w:hAnsi="Calibri"/>
          <w:b/>
          <w:bCs/>
          <w:sz w:val="18"/>
          <w:szCs w:val="18"/>
        </w:rPr>
        <w:t xml:space="preserve">8 GT/s (Gen3) × 2 lanes</w:t>
      </w:r>
      <w:r>
        <w:rPr>
          <w:rFonts w:ascii="Calibri" w:cs="Calibri" w:eastAsia="Calibri" w:hAnsi="Calibri"/>
          <w:sz w:val="18"/>
          <w:szCs w:val="18"/>
        </w:rPr>
        <w:t xml:space="preserve"> against a Gen4 x4-capable endpoint — a double downgrade (one PCIe generation and half the lanes). The resulting ~1.97 GB/s link ceiling is exactly where measured sequential read (1.87 GB/s) and 4K random read (443K × 4K ≈ 1.8 GB/s) both saturate, confirming the link — not the SSD — is the bottleneck. Typical causes: an M.2 slot wired x2, a riser/backplane forcing Gen3, incorrect CPU lane bifurcation in BIOS, or a poorly seated drive/connector.</w:t>
      </w:r>
    </w:p>
    <w:p>
      <w:pPr>
        <w:spacing w:after="90" w:before="160"/>
      </w:pPr>
      <w:r>
        <w:rPr>
          <w:rFonts w:ascii="Calibri" w:cs="Calibri" w:eastAsia="Calibri" w:hAnsi="Calibri"/>
          <w:b/>
          <w:bCs/>
          <w:color w:val="1F3864"/>
          <w:sz w:val="21"/>
          <w:szCs w:val="21"/>
        </w:rPr>
        <w:t xml:space="preserve">4.2  SMART health (nvme smart-log)</w:t>
      </w:r>
    </w:p>
    <w:tbl>
      <w:tblPr>
        <w:tblW w:type="dxa" w:w="990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dxa" w:w="1706"/>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Drive</w:t>
            </w:r>
          </w:p>
        </w:tc>
        <w:tc>
          <w:tcPr>
            <w:tcW w:type="dxa" w:w="20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Temp pre→post</w:t>
            </w:r>
          </w:p>
        </w:tc>
        <w:tc>
          <w:tcPr>
            <w:tcW w:type="dxa" w:w="19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 used (wear)</w:t>
            </w:r>
          </w:p>
        </w:tc>
        <w:tc>
          <w:tcPr>
            <w:tcW w:type="dxa" w:w="17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Media errors</w:t>
            </w:r>
          </w:p>
        </w:tc>
        <w:tc>
          <w:tcPr>
            <w:tcW w:type="dxa" w:w="13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Crit-warn</w:t>
            </w:r>
          </w:p>
        </w:tc>
        <w:tc>
          <w:tcPr>
            <w:tcW w:type="dxa" w:w="13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Health</w:t>
            </w:r>
          </w:p>
        </w:tc>
      </w:tr>
      <w:tr>
        <w:tc>
          <w:tcPr>
            <w:tcW w:type="dxa" w:w="17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nvme0n1</w:t>
            </w:r>
          </w:p>
        </w:tc>
        <w:tc>
          <w:tcPr>
            <w:tcW w:type="dxa" w:w="20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24→32 °C</w:t>
            </w:r>
          </w:p>
        </w:tc>
        <w:tc>
          <w:tcPr>
            <w:tcW w:type="dxa" w:w="19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3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300"/>
            <w:shd w:fill="FFFFFF"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CLEAN</w:t>
            </w:r>
          </w:p>
        </w:tc>
      </w:tr>
      <w:tr>
        <w:tc>
          <w:tcPr>
            <w:tcW w:type="dxa" w:w="170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nvme1n1</w:t>
            </w:r>
          </w:p>
        </w:tc>
        <w:tc>
          <w:tcPr>
            <w:tcW w:type="dxa" w:w="20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24→31 °C</w:t>
            </w:r>
          </w:p>
        </w:tc>
        <w:tc>
          <w:tcPr>
            <w:tcW w:type="dxa" w:w="19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3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300"/>
            <w:shd w:fill="F2F2F2"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CLEAN</w:t>
            </w:r>
          </w:p>
        </w:tc>
      </w:tr>
      <w:tr>
        <w:tc>
          <w:tcPr>
            <w:tcW w:type="dxa" w:w="1706"/>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nvme2n1</w:t>
            </w:r>
          </w:p>
        </w:tc>
        <w:tc>
          <w:tcPr>
            <w:tcW w:type="dxa" w:w="20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36→42 °C</w:t>
            </w:r>
          </w:p>
        </w:tc>
        <w:tc>
          <w:tcPr>
            <w:tcW w:type="dxa" w:w="19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3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300"/>
            <w:shd w:fill="FFFFFF"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CLEAN</w:t>
            </w:r>
          </w:p>
        </w:tc>
      </w:tr>
      <w:tr>
        <w:tc>
          <w:tcPr>
            <w:tcW w:type="dxa" w:w="1706"/>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nvme3n1</w:t>
            </w:r>
          </w:p>
        </w:tc>
        <w:tc>
          <w:tcPr>
            <w:tcW w:type="dxa" w:w="20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35→41 °C</w:t>
            </w:r>
          </w:p>
        </w:tc>
        <w:tc>
          <w:tcPr>
            <w:tcW w:type="dxa" w:w="19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7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3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0</w:t>
            </w:r>
          </w:p>
        </w:tc>
        <w:tc>
          <w:tcPr>
            <w:tcW w:type="dxa" w:w="1300"/>
            <w:shd w:fill="F2F2F2"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 CLEAN</w:t>
            </w:r>
          </w:p>
        </w:tc>
      </w:tr>
    </w:tbl>
    <w:p>
      <w:pPr>
        <w:spacing w:after="60" w:before="70"/>
      </w:pPr>
      <w:r>
        <w:rPr>
          <w:rFonts w:ascii="Calibri" w:cs="Calibri" w:eastAsia="Calibri" w:hAnsi="Calibri"/>
          <w:i/>
          <w:iCs/>
          <w:color w:val="555555"/>
          <w:sz w:val="17"/>
          <w:szCs w:val="17"/>
        </w:rPr>
        <w:t xml:space="preserve">No drive exceeded 42 °C under sustained load — no thermal throttling. All four report 0 critical warnings, 0 media/data-integrity errors, and 0% endurance used (the PM1743 drives have 54 power-on hours; the 960 GB drives are new at 1 hour).</w:t>
      </w:r>
    </w:p>
    <w:p>
      <w:pPr>
        <w:spacing w:after="130" w:before="220"/>
      </w:pPr>
      <w:r>
        <w:rPr>
          <w:rFonts w:ascii="Calibri" w:cs="Calibri" w:eastAsia="Calibri" w:hAnsi="Calibri"/>
          <w:b/>
          <w:bCs/>
          <w:color w:val="C00000"/>
          <w:sz w:val="26"/>
          <w:szCs w:val="26"/>
        </w:rPr>
        <w:t xml:space="preserve">5. Findings &amp; Recommendations</w:t>
      </w:r>
    </w:p>
    <w:p>
      <w:pPr>
        <w:spacing w:after="90" w:before="160"/>
      </w:pPr>
      <w:r>
        <w:rPr>
          <w:rFonts w:ascii="Calibri" w:cs="Calibri" w:eastAsia="Calibri" w:hAnsi="Calibri"/>
          <w:b/>
          <w:bCs/>
          <w:color w:val="1F3864"/>
          <w:sz w:val="21"/>
          <w:szCs w:val="21"/>
        </w:rPr>
        <w:t xml:space="preserve">5.1  What the validation proves</w:t>
      </w:r>
    </w:p>
    <w:p>
      <w:pPr>
        <w:pStyle w:val="ListParagraph"/>
        <w:numPr>
          <w:ilvl w:val="0"/>
          <w:numId w:val="1"/>
        </w:numPr>
        <w:spacing w:after="70"/>
      </w:pPr>
      <w:r>
        <w:rPr>
          <w:rFonts w:ascii="Calibri" w:cs="Calibri" w:eastAsia="Calibri" w:hAnsi="Calibri"/>
          <w:b/>
          <w:bCs/>
          <w:sz w:val="19"/>
          <w:szCs w:val="19"/>
        </w:rPr>
        <w:t xml:space="preserve">PM1743 15.36 TB drives are production-ready: </w:t>
      </w:r>
      <w:r>
        <w:rPr>
          <w:rFonts w:ascii="Calibri" w:cs="Calibri" w:eastAsia="Calibri" w:hAnsi="Calibri"/>
          <w:sz w:val="19"/>
          <w:szCs w:val="19"/>
        </w:rPr>
        <w:t xml:space="preserve">both deliver ~12.3 GB/s read, 7.06 GB/s write, ~1.75M 4K random read IOPS at QD512, ~1.0M read IOPS in a 70/30 mix, and 12 µs QD1 write latency — fully validated at PCIe Gen5 x4.</w:t>
      </w:r>
    </w:p>
    <w:p>
      <w:pPr>
        <w:pStyle w:val="ListParagraph"/>
        <w:numPr>
          <w:ilvl w:val="0"/>
          <w:numId w:val="1"/>
        </w:numPr>
        <w:spacing w:after="70"/>
      </w:pPr>
      <w:r>
        <w:rPr>
          <w:rFonts w:ascii="Calibri" w:cs="Calibri" w:eastAsia="Calibri" w:hAnsi="Calibri"/>
          <w:b/>
          <w:bCs/>
          <w:sz w:val="19"/>
          <w:szCs w:val="19"/>
        </w:rPr>
        <w:t xml:space="preserve">All four drives are electrically healthy: </w:t>
      </w:r>
      <w:r>
        <w:rPr>
          <w:rFonts w:ascii="Calibri" w:cs="Calibri" w:eastAsia="Calibri" w:hAnsi="Calibri"/>
          <w:sz w:val="19"/>
          <w:szCs w:val="19"/>
        </w:rPr>
        <w:t xml:space="preserve">zero media errors, zero critical warnings, 0% endurance used, and clean thermals (≤ 42 °C) under sustained load.</w:t>
      </w:r>
    </w:p>
    <w:p>
      <w:pPr>
        <w:pStyle w:val="ListParagraph"/>
        <w:numPr>
          <w:ilvl w:val="0"/>
          <w:numId w:val="1"/>
        </w:numPr>
        <w:spacing w:after="70"/>
      </w:pPr>
      <w:r>
        <w:rPr>
          <w:rFonts w:ascii="Calibri" w:cs="Calibri" w:eastAsia="Calibri" w:hAnsi="Calibri"/>
          <w:b/>
          <w:bCs/>
          <w:sz w:val="19"/>
          <w:szCs w:val="19"/>
        </w:rPr>
        <w:t xml:space="preserve">The two 960 GB drives are link-throttled, not faulty: </w:t>
      </w:r>
      <w:r>
        <w:rPr>
          <w:rFonts w:ascii="Calibri" w:cs="Calibri" w:eastAsia="Calibri" w:hAnsi="Calibri"/>
          <w:sz w:val="19"/>
          <w:szCs w:val="19"/>
        </w:rPr>
        <w:t xml:space="preserve">both negotiated PCIe Gen3 x2 instead of Gen4 x4, capping throughput at the ~1.8 GB/s x2 wall (1.87 GB/s read, 443K 4K IOPS) — about 26% of capability. QD1 latency (66 µs read / 15 µs write) remains healthy, since single-IO latency is not link-width bound.</w:t>
      </w:r>
    </w:p>
    <w:p>
      <w:pPr>
        <w:pStyle w:val="ListParagraph"/>
        <w:numPr>
          <w:ilvl w:val="0"/>
          <w:numId w:val="1"/>
        </w:numPr>
        <w:spacing w:after="70"/>
      </w:pPr>
      <w:r>
        <w:rPr>
          <w:rFonts w:ascii="Calibri" w:cs="Calibri" w:eastAsia="Calibri" w:hAnsi="Calibri"/>
          <w:b/>
          <w:bCs/>
          <w:sz w:val="19"/>
          <w:szCs w:val="19"/>
        </w:rPr>
        <w:t xml:space="preserve">Consistency across pairs is excellent: </w:t>
      </w:r>
      <w:r>
        <w:rPr>
          <w:rFonts w:ascii="Calibri" w:cs="Calibri" w:eastAsia="Calibri" w:hAnsi="Calibri"/>
          <w:sz w:val="19"/>
          <w:szCs w:val="19"/>
        </w:rPr>
        <w:t xml:space="preserve">the two PM1743 drives differ by &lt; 1% on every metric, as do the two 960 GB drives — indicating uniform parts and a stable test harness.</w:t>
      </w:r>
    </w:p>
    <w:p>
      <w:pPr>
        <w:spacing w:after="90" w:before="160"/>
      </w:pPr>
      <w:r>
        <w:rPr>
          <w:rFonts w:ascii="Calibri" w:cs="Calibri" w:eastAsia="Calibri" w:hAnsi="Calibri"/>
          <w:b/>
          <w:bCs/>
          <w:color w:val="1F3864"/>
          <w:sz w:val="21"/>
          <w:szCs w:val="21"/>
        </w:rPr>
        <w:t xml:space="preserve">5.2  Recommended next steps</w:t>
      </w:r>
    </w:p>
    <w:p>
      <w:pPr>
        <w:pStyle w:val="ListParagraph"/>
        <w:numPr>
          <w:ilvl w:val="0"/>
          <w:numId w:val="1"/>
        </w:numPr>
        <w:spacing w:after="70"/>
      </w:pPr>
      <w:r>
        <w:rPr>
          <w:rFonts w:ascii="Calibri" w:cs="Calibri" w:eastAsia="Calibri" w:hAnsi="Calibri"/>
          <w:b/>
          <w:bCs/>
          <w:color w:val="C00000"/>
          <w:sz w:val="19"/>
          <w:szCs w:val="19"/>
        </w:rPr>
        <w:t xml:space="preserve">Fix the 960 GB PCIe link (priority). </w:t>
      </w:r>
      <w:r>
        <w:rPr>
          <w:rFonts w:ascii="Calibri" w:cs="Calibri" w:eastAsia="Calibri" w:hAnsi="Calibri"/>
          <w:sz w:val="19"/>
          <w:szCs w:val="19"/>
        </w:rPr>
        <w:t xml:space="preserve">Re-seat the drives; verify the physical M.2/U.2 slot is wired x4; check BIOS PCIe bifurcation for the node0 slots (PCI 51:00 / 52:00); and confirm the riser/backplane is not forcing Gen3. Re-run lspci to confirm Gen4 x4 (16 GT/s x4) before re-qualifying — expect ~6–7 GB/s and 3–4× the random IOPS.</w:t>
      </w:r>
    </w:p>
    <w:p>
      <w:pPr>
        <w:pStyle w:val="ListParagraph"/>
        <w:numPr>
          <w:ilvl w:val="0"/>
          <w:numId w:val="1"/>
        </w:numPr>
        <w:spacing w:after="70"/>
      </w:pPr>
      <w:r>
        <w:rPr>
          <w:rFonts w:ascii="Calibri" w:cs="Calibri" w:eastAsia="Calibri" w:hAnsi="Calibri"/>
          <w:b/>
          <w:bCs/>
          <w:sz w:val="19"/>
          <w:szCs w:val="19"/>
        </w:rPr>
        <w:t xml:space="preserve">Consider 4K LBA format for the PM1743 drives. </w:t>
      </w:r>
      <w:r>
        <w:rPr>
          <w:rFonts w:ascii="Calibri" w:cs="Calibri" w:eastAsia="Calibri" w:hAnsi="Calibri"/>
          <w:sz w:val="19"/>
          <w:szCs w:val="19"/>
        </w:rPr>
        <w:t xml:space="preserve">All namespaces are 512-byte; enterprise NVMe generally performs best at 4096-byte LBA. `nvme format --lbaf=&lt;4K&gt;` (destructive) before deployment is recommended for the PM1743 pair.</w:t>
      </w:r>
    </w:p>
    <w:p>
      <w:pPr>
        <w:pStyle w:val="ListParagraph"/>
        <w:numPr>
          <w:ilvl w:val="0"/>
          <w:numId w:val="1"/>
        </w:numPr>
        <w:spacing w:after="70"/>
      </w:pPr>
      <w:r>
        <w:rPr>
          <w:rFonts w:ascii="Calibri" w:cs="Calibri" w:eastAsia="Calibri" w:hAnsi="Calibri"/>
          <w:b/>
          <w:bCs/>
          <w:sz w:val="19"/>
          <w:szCs w:val="19"/>
        </w:rPr>
        <w:t xml:space="preserve">For steady-state endurance numbers, run a full precondition. </w:t>
      </w:r>
      <w:r>
        <w:rPr>
          <w:rFonts w:ascii="Calibri" w:cs="Calibri" w:eastAsia="Calibri" w:hAnsi="Calibri"/>
          <w:sz w:val="19"/>
          <w:szCs w:val="19"/>
        </w:rPr>
        <w:t xml:space="preserve">The reported random-write figures are fresh-state. A 2× full-span sequential fill plus 30+ min of random-write soak per drive (outside the 3-hour window) would yield JEDEC steady-state IOPS for an SLA.</w:t>
      </w:r>
    </w:p>
    <w:p>
      <w:pPr>
        <w:pStyle w:val="ListParagraph"/>
        <w:numPr>
          <w:ilvl w:val="0"/>
          <w:numId w:val="1"/>
        </w:numPr>
        <w:spacing w:after="70"/>
      </w:pPr>
      <w:r>
        <w:rPr>
          <w:rFonts w:ascii="Calibri" w:cs="Calibri" w:eastAsia="Calibri" w:hAnsi="Calibri"/>
          <w:b/>
          <w:bCs/>
          <w:sz w:val="19"/>
          <w:szCs w:val="19"/>
        </w:rPr>
        <w:t xml:space="preserve">Enable continuous monitoring. </w:t>
      </w:r>
      <w:r>
        <w:rPr>
          <w:rFonts w:ascii="Calibri" w:cs="Calibri" w:eastAsia="Calibri" w:hAnsi="Calibri"/>
          <w:sz w:val="19"/>
          <w:szCs w:val="19"/>
        </w:rPr>
        <w:t xml:space="preserve">Install nvme-cli/smartd alerting on the deployed host to track temperature, media errors, and endurance over time.</w:t>
      </w:r>
    </w:p>
    <w:p>
      <w:pPr>
        <w:spacing w:after="90" w:before="160"/>
      </w:pPr>
      <w:r>
        <w:rPr>
          <w:rFonts w:ascii="Calibri" w:cs="Calibri" w:eastAsia="Calibri" w:hAnsi="Calibri"/>
          <w:b/>
          <w:bCs/>
          <w:color w:val="1F3864"/>
          <w:sz w:val="21"/>
          <w:szCs w:val="21"/>
        </w:rPr>
        <w:t xml:space="preserve">5.3  Customer-facing wording</w:t>
      </w:r>
    </w:p>
    <w:p>
      <w:pPr>
        <w:pBdr>
          <w:top w:val="single" w:color="D9D9D9" w:sz="4"/>
          <w:bottom w:val="single" w:color="D9D9D9" w:sz="4"/>
          <w:left w:val="single" w:color="1F3864" w:sz="18"/>
          <w:right w:val="single" w:color="D9D9D9" w:sz="4"/>
        </w:pBdr>
        <w:shd w:fill="F2F5F9" w:color="auto" w:val="clear"/>
        <w:spacing w:after="120" w:before="60"/>
      </w:pPr>
      <w:r>
        <w:rPr>
          <w:rFonts w:ascii="Calibri" w:cs="Calibri" w:eastAsia="Calibri" w:hAnsi="Calibri"/>
          <w:i/>
          <w:iCs/>
          <w:color w:val="1A1A1A"/>
          <w:sz w:val="19"/>
          <w:szCs w:val="19"/>
        </w:rPr>
        <w:t xml:space="preserve">“On the Tyrone MDA200A2N-224 (dual EPYC 9135) at 172.16.13.217, the two Samsung PM1743 15.36 TB NVMe SSDs are validated for production: PCIe Gen5 x4 confirmed, ~12.3 GB/s sequential read, 7.06 GB/s write, ~1.75 million 4K random read IOPS and 12 µs QD1 write latency, with zero media errors and clean thermals. The two 960 GB drives are healthy but currently train their PCIe link at Gen3 x2 instead of Gen4 x4, limiting them to ~1.9 GB/s and ~443K IOPS; once the slot/bifurcation is corrected and the link comes up at Gen4 x4, they will be re-qualified at full speed.”</w:t>
      </w:r>
    </w:p>
    <w:p>
      <w:pPr>
        <w:spacing w:after="90" w:before="160"/>
      </w:pPr>
      <w:r>
        <w:rPr>
          <w:rFonts w:ascii="Calibri" w:cs="Calibri" w:eastAsia="Calibri" w:hAnsi="Calibri"/>
          <w:b/>
          <w:bCs/>
          <w:color w:val="1F3864"/>
          <w:sz w:val="21"/>
          <w:szCs w:val="21"/>
        </w:rPr>
        <w:t xml:space="preserve">Final Conclusion</w:t>
      </w:r>
    </w:p>
    <w:tbl>
      <w:tblPr>
        <w:tblW w:type="dxa" w:w="990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dxa" w:w="490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Device</w:t>
            </w:r>
          </w:p>
        </w:tc>
        <w:tc>
          <w:tcPr>
            <w:tcW w:type="dxa" w:w="5006"/>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Outcome</w:t>
            </w:r>
          </w:p>
        </w:tc>
      </w:tr>
      <w:tr>
        <w:tc>
          <w:tcPr>
            <w:tcW w:type="dxa" w:w="4900"/>
            <w:shd w:fill="FFFFFF"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2 × Samsung PM1743 15.36 TB (nvme0/1)</w:t>
            </w:r>
          </w:p>
        </w:tc>
        <w:tc>
          <w:tcPr>
            <w:tcW w:type="dxa" w:w="5006"/>
            <w:shd w:fill="FFFFFF" w:color="auto" w:val="clear"/>
            <w:tcMar>
              <w:top w:type="dxa" w:w="40"/>
              <w:left w:type="dxa" w:w="90"/>
              <w:bottom w:type="dxa" w:w="40"/>
              <w:right w:type="dxa" w:w="90"/>
            </w:tcMar>
            <w:vAlign w:val="center"/>
          </w:tcPr>
          <w:p>
            <w:pPr>
              <w:spacing w:after="0"/>
            </w:pPr>
            <w:r>
              <w:rPr>
                <w:rFonts w:ascii="Calibri" w:cs="Calibri" w:eastAsia="Calibri" w:hAnsi="Calibri"/>
                <w:b/>
                <w:bCs/>
                <w:color w:val="2E7D32"/>
                <w:sz w:val="18"/>
                <w:szCs w:val="18"/>
              </w:rPr>
              <w:t xml:space="preserve">PASS — validated at PCIe Gen5 x4, full performance, healthy</w:t>
            </w:r>
          </w:p>
        </w:tc>
      </w:tr>
      <w:tr>
        <w:tc>
          <w:tcPr>
            <w:tcW w:type="dxa" w:w="4900"/>
            <w:shd w:fill="F2F2F2" w:color="auto" w:val="clear"/>
            <w:tcMar>
              <w:top w:type="dxa" w:w="40"/>
              <w:left w:type="dxa" w:w="90"/>
              <w:bottom w:type="dxa" w:w="40"/>
              <w:right w:type="dxa" w:w="90"/>
            </w:tcMar>
            <w:vAlign w:val="center"/>
          </w:tcPr>
          <w:p>
            <w:pPr>
              <w:spacing w:after="0"/>
            </w:pPr>
            <w:r>
              <w:rPr>
                <w:rFonts w:ascii="Calibri" w:cs="Calibri" w:eastAsia="Calibri" w:hAnsi="Calibri"/>
                <w:b w:val="false"/>
                <w:bCs w:val="false"/>
                <w:sz w:val="18"/>
                <w:szCs w:val="18"/>
              </w:rPr>
              <w:t xml:space="preserve">2 × Samsung 960 GB (nvme2/3)</w:t>
            </w:r>
          </w:p>
        </w:tc>
        <w:tc>
          <w:tcPr>
            <w:tcW w:type="dxa" w:w="5006"/>
            <w:shd w:fill="F2F2F2" w:color="auto" w:val="clear"/>
            <w:tcMar>
              <w:top w:type="dxa" w:w="40"/>
              <w:left w:type="dxa" w:w="90"/>
              <w:bottom w:type="dxa" w:w="40"/>
              <w:right w:type="dxa" w:w="90"/>
            </w:tcMar>
            <w:vAlign w:val="center"/>
          </w:tcPr>
          <w:p>
            <w:pPr>
              <w:spacing w:after="0"/>
            </w:pPr>
            <w:r>
              <w:rPr>
                <w:rFonts w:ascii="Calibri" w:cs="Calibri" w:eastAsia="Calibri" w:hAnsi="Calibri"/>
                <w:b/>
                <w:bCs/>
                <w:color w:val="B8860B"/>
                <w:sz w:val="18"/>
                <w:szCs w:val="18"/>
              </w:rPr>
              <w:t xml:space="preserve">PASS WITH LIMITATION — healthy but PCIe link downgraded to Gen3 x2; correct slot/bifurcation, then re-test</w:t>
            </w:r>
          </w:p>
        </w:tc>
      </w:tr>
    </w:tbl>
    <w:sectPr>
      <w:headerReference w:type="default" r:id="rId7"/>
      <w:headerReference w:type="first" r:id="rId8"/>
      <w:footerReference w:type="default" r:id="rId9"/>
      <w:footerReference w:type="first" r:id="rId10"/>
      <w:pgSz w:w="11906" w:h="16838" w:orient="portrait"/>
      <w:pgMar w:top="2300" w:right="1000" w:bottom="1150" w:left="1000" w:header="280" w:footer="2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1906"/>
      <w:tblInd w:type="dxa" w:w="-1000"/>
      <w:tblBorders>
        <w:top w:val="none"/>
        <w:left w:val="none"/>
        <w:bottom w:val="none"/>
        <w:right w:val="none"/>
        <w:insideH w:val="none"/>
        <w:insideV w:val="none"/>
      </w:tblBorders>
    </w:tblPr>
    <w:tblGrid>
      <w:gridCol w:w="100"/>
    </w:tblGrid>
    <w:tr>
      <w:trPr>
        <w:trHeight w:val="30" w:hRule="exact"/>
      </w:trPr>
      <w:tc>
        <w:tcPr>
          <w:shd w:fill="C00000" w:color="auto" w:val="clear"/>
        </w:tcPr>
        <w:p>
          <w:pPr>
            <w:spacing w:after="0"/>
          </w:pPr>
        </w:p>
      </w:tc>
    </w:tr>
  </w:tbl>
  <w:tbl>
    <w:tblPr>
      <w:tblW w:type="dxa" w:w="11906"/>
      <w:tblInd w:type="dxa" w:w="-1000"/>
      <w:tblBorders>
        <w:top w:val="none"/>
        <w:left w:val="none"/>
        <w:bottom w:val="none"/>
        <w:right w:val="none"/>
        <w:insideH w:val="none"/>
        <w:insideV w:val="none"/>
      </w:tblBorders>
    </w:tblPr>
    <w:tblGrid>
      <w:gridCol w:w="100"/>
    </w:tblGrid>
    <w:tr>
      <w:tc>
        <w:tcPr>
          <w:shd w:fill="1F3864" w:color="auto" w:val="clear"/>
          <w:tcMar>
            <w:top w:type="dxa" w:w="60"/>
            <w:left w:type="dxa" w:w="360"/>
            <w:bottom w:type="dxa" w:w="60"/>
            <w:right w:type="dxa" w:w="360"/>
          </w:tcMar>
        </w:tcPr>
        <w:p>
          <w:pPr>
            <w:tabs>
              <w:tab w:val="center" w:pos="5593"/>
              <w:tab w:val="right" w:pos="11186"/>
            </w:tabs>
            <w:spacing w:after="0"/>
          </w:pPr>
          <w:r>
            <w:rPr>
              <w:rFonts w:ascii="Calibri" w:cs="Calibri" w:eastAsia="Calibri" w:hAnsi="Calibri"/>
              <w:color w:val="FFFFFF"/>
              <w:sz w:val="15"/>
              <w:szCs w:val="15"/>
            </w:rPr>
            <w:t xml:space="preserve">	Page </w:t>
          </w:r>
          <w:r>
            <w:rPr>
              <w:rFonts w:ascii="Calibri" w:cs="Calibri" w:eastAsia="Calibri" w:hAnsi="Calibri"/>
              <w:color w:val="FFFFFF"/>
              <w:sz w:val="15"/>
              <w:szCs w:val="15"/>
            </w:rPr>
            <w:fldChar w:fldCharType="begin"/>
            <w:instrText xml:space="preserve">PAGE</w:instrText>
            <w:fldChar w:fldCharType="separate"/>
            <w:fldChar w:fldCharType="end"/>
          </w:r>
          <w:r>
            <w:rPr>
              <w:rFonts w:ascii="Calibri" w:cs="Calibri" w:eastAsia="Calibri" w:hAnsi="Calibri"/>
              <w:color w:val="FFFFFF"/>
              <w:sz w:val="15"/>
              <w:szCs w:val="15"/>
            </w:rPr>
            <w:t xml:space="preserve">	02 June 2026</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1906"/>
      <w:tblInd w:type="dxa" w:w="-1000"/>
      <w:tblBorders>
        <w:top w:val="none"/>
        <w:left w:val="none"/>
        <w:bottom w:val="none"/>
        <w:right w:val="none"/>
        <w:insideH w:val="none"/>
        <w:insideV w:val="none"/>
      </w:tblBorders>
    </w:tblPr>
    <w:tblGrid>
      <w:gridCol w:w="100"/>
    </w:tblGrid>
    <w:tr>
      <w:trPr>
        <w:trHeight w:val="30" w:hRule="exact"/>
      </w:trPr>
      <w:tc>
        <w:tcPr>
          <w:shd w:fill="C00000" w:color="auto" w:val="clear"/>
        </w:tcPr>
        <w:p>
          <w:pPr>
            <w:spacing w:after="0"/>
          </w:pPr>
        </w:p>
      </w:tc>
    </w:tr>
  </w:tbl>
  <w:tbl>
    <w:tblPr>
      <w:tblW w:type="dxa" w:w="11906"/>
      <w:tblInd w:type="dxa" w:w="-1000"/>
      <w:tblBorders>
        <w:top w:val="none"/>
        <w:left w:val="none"/>
        <w:bottom w:val="none"/>
        <w:right w:val="none"/>
        <w:insideH w:val="none"/>
        <w:insideV w:val="none"/>
      </w:tblBorders>
    </w:tblPr>
    <w:tblGrid>
      <w:gridCol w:w="100"/>
    </w:tblGrid>
    <w:tr>
      <w:tc>
        <w:tcPr>
          <w:shd w:fill="1F3864" w:color="auto" w:val="clear"/>
          <w:tcMar>
            <w:top w:type="dxa" w:w="60"/>
            <w:left w:type="dxa" w:w="360"/>
            <w:bottom w:type="dxa" w:w="60"/>
            <w:right w:type="dxa" w:w="360"/>
          </w:tcMar>
        </w:tcPr>
        <w:p>
          <w:pPr>
            <w:tabs>
              <w:tab w:val="center" w:pos="5593"/>
              <w:tab w:val="right" w:pos="11186"/>
            </w:tabs>
            <w:spacing w:after="0"/>
          </w:pPr>
          <w:r>
            <w:rPr>
              <w:rFonts w:ascii="Calibri" w:cs="Calibri" w:eastAsia="Calibri" w:hAnsi="Calibri"/>
              <w:color w:val="FFFFFF"/>
              <w:sz w:val="15"/>
              <w:szCs w:val="15"/>
            </w:rPr>
            <w:t xml:space="preserve">	Page </w:t>
          </w:r>
          <w:r>
            <w:rPr>
              <w:rFonts w:ascii="Calibri" w:cs="Calibri" w:eastAsia="Calibri" w:hAnsi="Calibri"/>
              <w:color w:val="FFFFFF"/>
              <w:sz w:val="15"/>
              <w:szCs w:val="15"/>
            </w:rPr>
            <w:fldChar w:fldCharType="begin"/>
            <w:instrText xml:space="preserve">PAGE</w:instrText>
            <w:fldChar w:fldCharType="separate"/>
            <w:fldChar w:fldCharType="end"/>
          </w:r>
          <w:r>
            <w:rPr>
              <w:rFonts w:ascii="Calibri" w:cs="Calibri" w:eastAsia="Calibri" w:hAnsi="Calibri"/>
              <w:color w:val="FFFFFF"/>
              <w:sz w:val="15"/>
              <w:szCs w:val="15"/>
            </w:rPr>
            <w:t xml:space="preserve">	02 June 2026</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1906"/>
      <w:tblInd w:type="dxa" w:w="-1000"/>
      <w:tblBorders>
        <w:top w:val="none"/>
        <w:left w:val="none"/>
        <w:bottom w:val="none"/>
        <w:right w:val="none"/>
        <w:insideH w:val="none"/>
        <w:insideV w:val="none"/>
      </w:tblBorders>
    </w:tblPr>
    <w:tblGrid>
      <w:gridCol w:w="100"/>
    </w:tblGrid>
    <w:tr>
      <w:tc>
        <w:tcPr>
          <w:shd w:fill="1F3864" w:color="auto" w:val="clear"/>
          <w:tcMar>
            <w:top w:type="dxa" w:w="70"/>
            <w:left w:type="dxa" w:w="360"/>
            <w:bottom w:type="dxa" w:w="70"/>
            <w:right w:type="dxa" w:w="360"/>
          </w:tcMar>
        </w:tcPr>
        <w:p>
          <w:pPr>
            <w:tabs>
              <w:tab w:val="right" w:pos="11186"/>
            </w:tabs>
            <w:spacing w:after="0"/>
          </w:pPr>
          <w:r>
            <w:rPr>
              <w:rFonts w:ascii="Calibri" w:cs="Calibri" w:eastAsia="Calibri" w:hAnsi="Calibri"/>
              <w:b/>
              <w:bCs/>
              <w:color w:val="FFFFFF"/>
              <w:sz w:val="18"/>
              <w:szCs w:val="18"/>
            </w:rPr>
            <w:t xml:space="preserve">NETWEB TECHNOLOGIES INDIA LTD</w:t>
          </w:r>
          <w:r>
            <w:rPr>
              <w:rFonts w:ascii="Calibri" w:cs="Calibri" w:eastAsia="Calibri" w:hAnsi="Calibri"/>
              <w:color w:val="FFFFFF"/>
              <w:sz w:val="16"/>
              <w:szCs w:val="16"/>
            </w:rPr>
            <w:t xml:space="preserve">	Server 172.16.13.217 — 3-Hour NVMe SSD Validation</w:t>
          </w:r>
        </w:p>
        <w:p>
          <w:pPr>
            <w:spacing w:after="0"/>
          </w:pPr>
          <w:r>
            <w:rPr>
              <w:rFonts w:ascii="Calibri" w:cs="Calibri" w:eastAsia="Calibri" w:hAnsi="Calibri"/>
              <w:i/>
              <w:iCs/>
              <w:color w:val="E0A33E"/>
              <w:sz w:val="14"/>
              <w:szCs w:val="14"/>
            </w:rPr>
            <w:t xml:space="preserve">Empowering Compute, Network and Storage</w:t>
          </w:r>
        </w:p>
      </w:tc>
    </w:tr>
  </w:tbl>
  <w:tbl>
    <w:tblPr>
      <w:tblW w:type="dxa" w:w="11906"/>
      <w:tblInd w:type="dxa" w:w="-1000"/>
      <w:tblBorders>
        <w:top w:val="none"/>
        <w:left w:val="none"/>
        <w:bottom w:val="none"/>
        <w:right w:val="none"/>
        <w:insideH w:val="none"/>
        <w:insideV w:val="none"/>
      </w:tblBorders>
    </w:tblPr>
    <w:tblGrid>
      <w:gridCol w:w="100"/>
    </w:tblGrid>
    <w:tr>
      <w:trPr>
        <w:trHeight w:val="45" w:hRule="exact"/>
      </w:trPr>
      <w:tc>
        <w:tcPr>
          <w:shd w:fill="C00000" w:color="auto" w:val="clear"/>
        </w:tcPr>
        <w:p>
          <w:pPr>
            <w:spacing w:after="0"/>
          </w:pP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1906"/>
      <w:tblInd w:type="dxa" w:w="-1000"/>
      <w:tblBorders>
        <w:top w:val="none"/>
        <w:left w:val="none"/>
        <w:bottom w:val="none"/>
        <w:right w:val="none"/>
        <w:insideH w:val="none"/>
        <w:insideV w:val="none"/>
      </w:tblBorders>
    </w:tblPr>
    <w:tblGrid>
      <w:gridCol w:w="100"/>
    </w:tblGrid>
    <w:tr>
      <w:tc>
        <w:tcPr>
          <w:shd w:fill="1F3864" w:color="auto" w:val="clear"/>
          <w:tcMar>
            <w:top w:type="dxa" w:w="150"/>
            <w:left w:type="dxa" w:w="360"/>
            <w:bottom w:type="dxa" w:w="120"/>
            <w:right w:type="dxa" w:w="360"/>
          </w:tcMar>
        </w:tcPr>
        <w:p>
          <w:pPr>
            <w:spacing w:after="0"/>
            <w:jc w:val="center"/>
          </w:pPr>
          <w:r>
            <w:rPr>
              <w:rFonts w:ascii="Calibri" w:cs="Calibri" w:eastAsia="Calibri" w:hAnsi="Calibri"/>
              <w:b/>
              <w:bCs/>
              <w:color w:val="FFFFFF"/>
              <w:sz w:val="40"/>
              <w:szCs w:val="40"/>
            </w:rPr>
            <w:t xml:space="preserve">NETWEB TECHNOLOGIES</w:t>
          </w:r>
        </w:p>
        <w:p>
          <w:pPr>
            <w:spacing w:after="0"/>
            <w:jc w:val="center"/>
          </w:pPr>
          <w:r>
            <w:rPr>
              <w:rFonts w:ascii="Calibri" w:cs="Calibri" w:eastAsia="Calibri" w:hAnsi="Calibri"/>
              <w:b/>
              <w:bCs/>
              <w:color w:val="FFFFFF"/>
              <w:sz w:val="20"/>
              <w:szCs w:val="20"/>
            </w:rPr>
            <w:t xml:space="preserve">INDIA LIMITED</w:t>
          </w:r>
        </w:p>
        <w:p>
          <w:pPr>
            <w:spacing w:after="0"/>
            <w:jc w:val="center"/>
          </w:pPr>
          <w:r>
            <w:rPr>
              <w:rFonts w:ascii="Calibri" w:cs="Calibri" w:eastAsia="Calibri" w:hAnsi="Calibri"/>
              <w:i/>
              <w:iCs/>
              <w:color w:val="E0A33E"/>
              <w:sz w:val="17"/>
              <w:szCs w:val="17"/>
            </w:rPr>
            <w:t xml:space="preserve">Empowering Compute, Network and Storage</w:t>
          </w:r>
        </w:p>
      </w:tc>
    </w:tr>
  </w:tbl>
  <w:tbl>
    <w:tblPr>
      <w:tblW w:type="dxa" w:w="11906"/>
      <w:tblInd w:type="dxa" w:w="-1000"/>
      <w:tblBorders>
        <w:top w:val="none"/>
        <w:left w:val="none"/>
        <w:bottom w:val="none"/>
        <w:right w:val="none"/>
        <w:insideH w:val="none"/>
        <w:insideV w:val="none"/>
      </w:tblBorders>
    </w:tblPr>
    <w:tblGrid>
      <w:gridCol w:w="100"/>
    </w:tblGrid>
    <w:tr>
      <w:trPr>
        <w:trHeight w:val="60" w:hRule="exact"/>
      </w:trPr>
      <w:tc>
        <w:tcPr>
          <w:shd w:fill="C00000" w:color="auto" w:val="clear"/>
        </w:tcPr>
        <w:p>
          <w:pPr>
            <w:spacing w:after="0"/>
          </w:pP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8b0a45bfc6beb6ced7bbca5b59823c25e19af25.png"/><Relationship Id="rId12" Type="http://schemas.openxmlformats.org/officeDocument/2006/relationships/image" Target="media/6718f9e338f4bf994f6c5a39f28276d00fbe827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3-Hour NVMe SSD Validation — 172.16.13.217</dc:title>
  <dc:creator>Netweb Technologies India Ltd — Engineering</dc:creator>
  <cp:lastModifiedBy>Un-named</cp:lastModifiedBy>
  <cp:revision>1</cp:revision>
  <dcterms:created xsi:type="dcterms:W3CDTF">2026-06-05T12:17:19.190Z</dcterms:created>
  <dcterms:modified xsi:type="dcterms:W3CDTF">2026-06-05T12:17:19.193Z</dcterms:modified>
</cp:coreProperties>
</file>

<file path=docProps/custom.xml><?xml version="1.0" encoding="utf-8"?>
<Properties xmlns="http://schemas.openxmlformats.org/officeDocument/2006/custom-properties" xmlns:vt="http://schemas.openxmlformats.org/officeDocument/2006/docPropsVTypes"/>
</file>