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383"/>
      </w:tblGrid>
      <w:tr w:rsidR="000D27C5" w:rsidRPr="00651ABF" w:rsidTr="002E1CA2">
        <w:tc>
          <w:tcPr>
            <w:tcW w:w="10188" w:type="dxa"/>
          </w:tcPr>
          <w:tbl>
            <w:tblPr>
              <w:tblStyle w:val="TableGrid"/>
              <w:tblW w:w="10157" w:type="dxa"/>
              <w:tblLook w:val="04A0" w:firstRow="1" w:lastRow="0" w:firstColumn="1" w:lastColumn="0" w:noHBand="0" w:noVBand="1"/>
            </w:tblPr>
            <w:tblGrid>
              <w:gridCol w:w="1963"/>
              <w:gridCol w:w="1963"/>
              <w:gridCol w:w="1652"/>
              <w:gridCol w:w="1997"/>
              <w:gridCol w:w="2582"/>
            </w:tblGrid>
            <w:tr w:rsidR="000D27C5" w:rsidRPr="00651ABF" w:rsidTr="002E1CA2">
              <w:trPr>
                <w:trHeight w:val="797"/>
              </w:trPr>
              <w:tc>
                <w:tcPr>
                  <w:tcW w:w="1963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bookmarkStart w:id="0" w:name="_GoBack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1963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1652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997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2582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Key points</w:t>
                  </w:r>
                </w:p>
              </w:tc>
            </w:tr>
            <w:tr w:rsidR="000D27C5" w:rsidRPr="00651ABF" w:rsidTr="002E1CA2">
              <w:trPr>
                <w:trHeight w:val="2351"/>
              </w:trPr>
              <w:tc>
                <w:tcPr>
                  <w:tcW w:w="1963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Wells Fargo</w:t>
                  </w:r>
                </w:p>
              </w:tc>
              <w:tc>
                <w:tcPr>
                  <w:tcW w:w="1963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SFO,CA</w:t>
                  </w:r>
                </w:p>
              </w:tc>
              <w:tc>
                <w:tcPr>
                  <w:tcW w:w="1652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Jan2014-present</w:t>
                  </w:r>
                </w:p>
              </w:tc>
              <w:tc>
                <w:tcPr>
                  <w:tcW w:w="1997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Financial</w:t>
                  </w:r>
                </w:p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color w:val="222222"/>
                      <w:sz w:val="20"/>
                      <w:szCs w:val="20"/>
                    </w:rPr>
                    <w:t>SAS Lead Programmer/Data Analyst</w:t>
                  </w:r>
                </w:p>
              </w:tc>
              <w:tc>
                <w:tcPr>
                  <w:tcW w:w="2582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0D27C5" w:rsidRPr="00651ABF" w:rsidTr="002E1CA2">
              <w:trPr>
                <w:trHeight w:val="2438"/>
              </w:trPr>
              <w:tc>
                <w:tcPr>
                  <w:tcW w:w="1963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Blue cross Blue shield</w:t>
                  </w:r>
                </w:p>
              </w:tc>
              <w:tc>
                <w:tcPr>
                  <w:tcW w:w="1963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Dallas,TX</w:t>
                  </w:r>
                  <w:proofErr w:type="spellEnd"/>
                </w:p>
              </w:tc>
              <w:tc>
                <w:tcPr>
                  <w:tcW w:w="1652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bCs/>
                      <w:sz w:val="20"/>
                      <w:szCs w:val="20"/>
                    </w:rPr>
                    <w:t>Aug ’11 – Dec ‘13</w:t>
                  </w:r>
                </w:p>
              </w:tc>
              <w:tc>
                <w:tcPr>
                  <w:tcW w:w="1997" w:type="dxa"/>
                </w:tcPr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Sas</w:t>
                  </w:r>
                  <w:proofErr w:type="spellEnd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 Lead Programmer-Health care –Insurance </w:t>
                  </w:r>
                </w:p>
              </w:tc>
              <w:tc>
                <w:tcPr>
                  <w:tcW w:w="2582" w:type="dxa"/>
                </w:tcPr>
                <w:p w:rsidR="000D27C5" w:rsidRPr="00651ABF" w:rsidRDefault="000D27C5" w:rsidP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-Generating insurance coverage</w:t>
                  </w:r>
                </w:p>
                <w:p w:rsidR="000D27C5" w:rsidRPr="00651ABF" w:rsidRDefault="000D27C5" w:rsidP="000D27C5">
                  <w:pPr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</w:pPr>
                  <w:r w:rsidRPr="00651ABF"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  <w:t>-</w:t>
                  </w:r>
                  <w:r w:rsidRPr="00651ABF"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  <w:t>Base SAS and SAS/Macros</w:t>
                  </w:r>
                </w:p>
                <w:p w:rsidR="000D27C5" w:rsidRPr="00651ABF" w:rsidRDefault="000D27C5" w:rsidP="000D27C5">
                  <w:pPr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</w:pPr>
                  <w:r w:rsidRPr="00651ABF"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  <w:t>-</w:t>
                  </w:r>
                  <w:r w:rsidRPr="00651ABF"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651ABF"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  <w:t>Forecasting and Analytical Methodologies</w:t>
                  </w:r>
                </w:p>
                <w:p w:rsidR="000D27C5" w:rsidRPr="00651ABF" w:rsidRDefault="000D27C5" w:rsidP="000D27C5">
                  <w:pPr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</w:pPr>
                  <w:r w:rsidRPr="00651ABF"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  <w:t xml:space="preserve">- </w:t>
                  </w:r>
                  <w:r w:rsidRPr="00651ABF"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  <w:t>architecture discussions</w:t>
                  </w:r>
                </w:p>
                <w:p w:rsidR="000D27C5" w:rsidRPr="00651ABF" w:rsidRDefault="000D27C5" w:rsidP="000D27C5">
                  <w:pPr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</w:pPr>
                  <w:r w:rsidRPr="00651ABF">
                    <w:rPr>
                      <w:rFonts w:asciiTheme="majorHAnsi" w:hAnsiTheme="majorHAnsi" w:cs="Times New Roman"/>
                      <w:sz w:val="20"/>
                      <w:szCs w:val="20"/>
                      <w:shd w:val="clear" w:color="auto" w:fill="FFFFFF"/>
                    </w:rPr>
                    <w:t>-</w:t>
                  </w:r>
                  <w:r w:rsidRPr="00651ABF"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651ABF"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  <w:t xml:space="preserve">Print, Sort, SQL, Means, Summary, </w:t>
                  </w:r>
                  <w:proofErr w:type="spellStart"/>
                  <w:r w:rsidRPr="00651ABF">
                    <w:rPr>
                      <w:rFonts w:asciiTheme="majorHAnsi" w:hAnsiTheme="majorHAnsi" w:cs="Times New Roman"/>
                      <w:bCs/>
                      <w:sz w:val="20"/>
                      <w:szCs w:val="20"/>
                      <w:shd w:val="clear" w:color="auto" w:fill="FFFFFF"/>
                    </w:rPr>
                    <w:t>Freq</w:t>
                  </w:r>
                  <w:proofErr w:type="spellEnd"/>
                </w:p>
                <w:p w:rsidR="002E1CA2" w:rsidRPr="00651ABF" w:rsidRDefault="002E1CA2" w:rsidP="000D27C5">
                  <w:pPr>
                    <w:rPr>
                      <w:rFonts w:asciiTheme="majorHAnsi" w:hAnsiTheme="majorHAnsi" w:cs="Times New Roman"/>
                      <w:b/>
                      <w:bCs/>
                      <w:sz w:val="20"/>
                      <w:szCs w:val="20"/>
                      <w:shd w:val="clear" w:color="auto" w:fill="FFFFFF"/>
                    </w:rPr>
                  </w:pPr>
                  <w:r w:rsidRPr="00651ABF">
                    <w:rPr>
                      <w:rFonts w:asciiTheme="majorHAnsi" w:hAnsiTheme="majorHAnsi" w:cs="Times New Roman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Normal </w:t>
                  </w:r>
                  <w:proofErr w:type="spellStart"/>
                  <w:r w:rsidRPr="00651ABF">
                    <w:rPr>
                      <w:rFonts w:asciiTheme="majorHAnsi" w:hAnsiTheme="majorHAnsi" w:cs="Times New Roman"/>
                      <w:b/>
                      <w:bCs/>
                      <w:sz w:val="20"/>
                      <w:szCs w:val="20"/>
                      <w:shd w:val="clear" w:color="auto" w:fill="FFFFFF"/>
                    </w:rPr>
                    <w:t>sas</w:t>
                  </w:r>
                  <w:proofErr w:type="spellEnd"/>
                  <w:r w:rsidRPr="00651ABF">
                    <w:rPr>
                      <w:rFonts w:asciiTheme="majorHAnsi" w:hAnsiTheme="majorHAnsi" w:cs="Times New Roman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 Programming …</w:t>
                  </w:r>
                </w:p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0D27C5" w:rsidRPr="00651ABF" w:rsidTr="002E1CA2">
              <w:trPr>
                <w:trHeight w:val="2351"/>
              </w:trPr>
              <w:tc>
                <w:tcPr>
                  <w:tcW w:w="1963" w:type="dxa"/>
                </w:tcPr>
                <w:p w:rsidR="000D27C5" w:rsidRPr="00651ABF" w:rsidRDefault="002E1CA2" w:rsidP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>Pneumrx</w:t>
                  </w:r>
                  <w:proofErr w:type="spellEnd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 xml:space="preserve">, </w:t>
                  </w:r>
                </w:p>
              </w:tc>
              <w:tc>
                <w:tcPr>
                  <w:tcW w:w="1963" w:type="dxa"/>
                </w:tcPr>
                <w:p w:rsidR="000D27C5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 xml:space="preserve">Mountain view, CA                                                                                         </w:t>
                  </w:r>
                </w:p>
              </w:tc>
              <w:tc>
                <w:tcPr>
                  <w:tcW w:w="1652" w:type="dxa"/>
                </w:tcPr>
                <w:p w:rsidR="000D27C5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  <w:u w:val="single"/>
                    </w:rPr>
                    <w:t>Feb ’09 – Jul ‘11</w:t>
                  </w:r>
                </w:p>
              </w:tc>
              <w:tc>
                <w:tcPr>
                  <w:tcW w:w="1997" w:type="dxa"/>
                </w:tcPr>
                <w:p w:rsidR="002E1CA2" w:rsidRPr="00651ABF" w:rsidRDefault="002E1CA2" w:rsidP="002E1CA2">
                  <w:pPr>
                    <w:pStyle w:val="normal00200028web0029"/>
                    <w:spacing w:after="0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Lead statistical </w:t>
                  </w: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Programmer </w:t>
                  </w: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clinica</w:t>
                  </w:r>
                  <w:proofErr w:type="spellEnd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)</w:t>
                  </w: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  </w:t>
                  </w:r>
                </w:p>
                <w:p w:rsidR="000D27C5" w:rsidRPr="00651ABF" w:rsidRDefault="000D27C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582" w:type="dxa"/>
                </w:tcPr>
                <w:p w:rsidR="000D27C5" w:rsidRPr="00651ABF" w:rsidRDefault="002E1CA2">
                  <w:pPr>
                    <w:rPr>
                      <w:rFonts w:asciiTheme="majorHAnsi" w:eastAsia="Times New Roman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>-</w:t>
                  </w: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Generated and validated </w:t>
                  </w:r>
                  <w:r w:rsidRPr="00651ABF">
                    <w:rPr>
                      <w:rFonts w:asciiTheme="majorHAnsi" w:eastAsia="Times New Roman" w:hAnsiTheme="majorHAnsi"/>
                      <w:b/>
                      <w:sz w:val="20"/>
                      <w:szCs w:val="20"/>
                    </w:rPr>
                    <w:t>SDTM</w:t>
                  </w: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 and </w:t>
                  </w:r>
                  <w:r w:rsidRPr="00651ABF">
                    <w:rPr>
                      <w:rFonts w:asciiTheme="majorHAnsi" w:eastAsia="Times New Roman" w:hAnsiTheme="majorHAnsi"/>
                      <w:b/>
                      <w:sz w:val="20"/>
                      <w:szCs w:val="20"/>
                    </w:rPr>
                    <w:t>ADAM</w:t>
                  </w: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 datasets using respective specifications</w:t>
                  </w:r>
                </w:p>
                <w:p w:rsidR="002E1CA2" w:rsidRPr="00651ABF" w:rsidRDefault="002E1CA2">
                  <w:pPr>
                    <w:rPr>
                      <w:rFonts w:asciiTheme="majorHAnsi" w:eastAsia="Times New Roman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-Worked on clinical domains of CDISC,SDTM (standard data tabulation model)on all phases of clinical </w:t>
                  </w:r>
                  <w:proofErr w:type="spellStart"/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>trails</w:t>
                  </w:r>
                  <w:proofErr w:type="spellEnd"/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>(0,1,2,3)</w:t>
                  </w:r>
                </w:p>
                <w:p w:rsidR="002E1CA2" w:rsidRPr="00651ABF" w:rsidRDefault="002E1CA2" w:rsidP="002E1CA2">
                  <w:pPr>
                    <w:numPr>
                      <w:ilvl w:val="0"/>
                      <w:numId w:val="2"/>
                    </w:numPr>
                    <w:ind w:left="360" w:hanging="359"/>
                    <w:jc w:val="both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Remaining current in state-of-the-art statistical programming methods useful in the execution of </w:t>
                  </w:r>
                  <w:r w:rsidRPr="00651ABF">
                    <w:rPr>
                      <w:rFonts w:asciiTheme="majorHAnsi" w:eastAsia="Times New Roman" w:hAnsiTheme="majorHAnsi"/>
                      <w:b/>
                      <w:sz w:val="20"/>
                      <w:szCs w:val="20"/>
                    </w:rPr>
                    <w:t>analysis of clinical trial data</w:t>
                  </w:r>
                </w:p>
                <w:p w:rsidR="002E1CA2" w:rsidRPr="00651ABF" w:rsidRDefault="002E1CA2" w:rsidP="002E1CA2">
                  <w:pPr>
                    <w:numPr>
                      <w:ilvl w:val="0"/>
                      <w:numId w:val="2"/>
                    </w:numPr>
                    <w:ind w:left="360" w:hanging="359"/>
                    <w:jc w:val="both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Worked on Some </w:t>
                  </w:r>
                  <w:r w:rsidRPr="00651ABF">
                    <w:rPr>
                      <w:rFonts w:asciiTheme="majorHAnsi" w:eastAsia="Times New Roman" w:hAnsiTheme="majorHAnsi"/>
                      <w:b/>
                      <w:sz w:val="20"/>
                      <w:szCs w:val="20"/>
                    </w:rPr>
                    <w:t>oncology</w:t>
                  </w: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 studies of external </w:t>
                  </w:r>
                  <w:r w:rsidRPr="00651ABF">
                    <w:rPr>
                      <w:rFonts w:asciiTheme="majorHAnsi" w:eastAsia="Times New Roman" w:hAnsiTheme="majorHAnsi"/>
                      <w:b/>
                      <w:sz w:val="20"/>
                      <w:szCs w:val="20"/>
                    </w:rPr>
                    <w:t>pharmaceutical companies</w:t>
                  </w:r>
                </w:p>
                <w:p w:rsidR="002E1CA2" w:rsidRPr="00651ABF" w:rsidRDefault="002E1CA2" w:rsidP="002E1CA2">
                  <w:pPr>
                    <w:numPr>
                      <w:ilvl w:val="0"/>
                      <w:numId w:val="2"/>
                    </w:numPr>
                    <w:ind w:left="360" w:hanging="359"/>
                    <w:jc w:val="both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Worked on regulatory submissions according to FDA </w:t>
                  </w:r>
                </w:p>
                <w:p w:rsidR="002E1CA2" w:rsidRPr="00651ABF" w:rsidRDefault="00651ABF" w:rsidP="00651ABF">
                  <w:pPr>
                    <w:numPr>
                      <w:ilvl w:val="0"/>
                      <w:numId w:val="2"/>
                    </w:numPr>
                    <w:ind w:left="360" w:hanging="359"/>
                    <w:jc w:val="both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651ABF">
                    <w:rPr>
                      <w:rFonts w:asciiTheme="majorHAnsi" w:eastAsia="Times New Roman" w:hAnsiTheme="majorHAnsi"/>
                      <w:sz w:val="20"/>
                      <w:szCs w:val="20"/>
                    </w:rPr>
                    <w:t xml:space="preserve">Used </w:t>
                  </w: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clinical trial data like </w:t>
                  </w: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Demographic data, Adverse Events data, Vital Signs data, Laboratory data</w:t>
                  </w:r>
                </w:p>
                <w:p w:rsidR="002E1CA2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0D27C5" w:rsidRPr="00651ABF" w:rsidTr="00651ABF">
              <w:trPr>
                <w:trHeight w:val="1700"/>
              </w:trPr>
              <w:tc>
                <w:tcPr>
                  <w:tcW w:w="1963" w:type="dxa"/>
                </w:tcPr>
                <w:p w:rsidR="000D27C5" w:rsidRPr="00651ABF" w:rsidRDefault="002E1CA2" w:rsidP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lastRenderedPageBreak/>
                    <w:t>Aai</w:t>
                  </w:r>
                  <w:proofErr w:type="spellEnd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>Pharma</w:t>
                  </w:r>
                  <w:proofErr w:type="spellEnd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c>
              <w:tc>
                <w:tcPr>
                  <w:tcW w:w="1963" w:type="dxa"/>
                </w:tcPr>
                <w:p w:rsidR="000D27C5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 xml:space="preserve">Eaton Town, NJ                                                                                          </w:t>
                  </w:r>
                </w:p>
              </w:tc>
              <w:tc>
                <w:tcPr>
                  <w:tcW w:w="1652" w:type="dxa"/>
                </w:tcPr>
                <w:p w:rsidR="000D27C5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>Apr ’07 - Feb ‘09</w:t>
                  </w:r>
                </w:p>
              </w:tc>
              <w:tc>
                <w:tcPr>
                  <w:tcW w:w="1997" w:type="dxa"/>
                </w:tcPr>
                <w:p w:rsidR="000D27C5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Clinical SAS programmer</w:t>
                  </w:r>
                </w:p>
              </w:tc>
              <w:tc>
                <w:tcPr>
                  <w:tcW w:w="2582" w:type="dxa"/>
                </w:tcPr>
                <w:p w:rsidR="000D27C5" w:rsidRPr="00651ABF" w:rsidRDefault="002E1CA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Same as </w:t>
                  </w:r>
                  <w:proofErr w:type="spellStart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Pneumx</w:t>
                  </w:r>
                  <w:proofErr w:type="spellEnd"/>
                </w:p>
              </w:tc>
            </w:tr>
            <w:tr w:rsidR="00651ABF" w:rsidRPr="00651ABF" w:rsidTr="002E1CA2">
              <w:trPr>
                <w:trHeight w:val="2525"/>
              </w:trPr>
              <w:tc>
                <w:tcPr>
                  <w:tcW w:w="1963" w:type="dxa"/>
                </w:tcPr>
                <w:p w:rsidR="00651ABF" w:rsidRPr="00651ABF" w:rsidRDefault="00651ABF" w:rsidP="00651ABF">
                  <w:pPr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</w:pP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  <w:t>Ranbaxy Pharmaceuticals</w:t>
                  </w: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  <w:u w:val="single"/>
                    </w:rPr>
                    <w:t xml:space="preserve">, </w:t>
                  </w:r>
                </w:p>
              </w:tc>
              <w:tc>
                <w:tcPr>
                  <w:tcW w:w="1963" w:type="dxa"/>
                </w:tcPr>
                <w:p w:rsidR="00651ABF" w:rsidRPr="00651ABF" w:rsidRDefault="00651ABF">
                  <w:pPr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</w:pP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  <w:u w:val="single"/>
                    </w:rPr>
                    <w:t>INDIA</w:t>
                  </w: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  <w:u w:val="single"/>
                    </w:rPr>
                    <w:tab/>
                  </w:r>
                </w:p>
              </w:tc>
              <w:tc>
                <w:tcPr>
                  <w:tcW w:w="1652" w:type="dxa"/>
                </w:tcPr>
                <w:p w:rsidR="00651ABF" w:rsidRPr="00651ABF" w:rsidRDefault="00651ABF">
                  <w:pPr>
                    <w:rPr>
                      <w:rFonts w:asciiTheme="majorHAnsi" w:hAnsiTheme="majorHAnsi"/>
                      <w:b/>
                      <w:sz w:val="20"/>
                      <w:szCs w:val="20"/>
                      <w:u w:val="single"/>
                    </w:rPr>
                  </w:pP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  <w:u w:val="single"/>
                    </w:rPr>
                    <w:t>Jan ‘06 – Apr ‘07</w:t>
                  </w: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  <w:u w:val="single"/>
                    </w:rPr>
                    <w:tab/>
                  </w:r>
                </w:p>
              </w:tc>
              <w:tc>
                <w:tcPr>
                  <w:tcW w:w="1997" w:type="dxa"/>
                </w:tcPr>
                <w:p w:rsidR="00651ABF" w:rsidRPr="00651ABF" w:rsidRDefault="00651AB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Clinical </w:t>
                  </w:r>
                  <w:proofErr w:type="spellStart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sas</w:t>
                  </w:r>
                  <w:proofErr w:type="spellEnd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 programmer</w:t>
                  </w:r>
                </w:p>
              </w:tc>
              <w:tc>
                <w:tcPr>
                  <w:tcW w:w="2582" w:type="dxa"/>
                </w:tcPr>
                <w:p w:rsidR="00651ABF" w:rsidRPr="00651ABF" w:rsidRDefault="00651AB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Worked on clinical </w:t>
                  </w:r>
                  <w:proofErr w:type="spellStart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trails</w:t>
                  </w:r>
                  <w:proofErr w:type="spellEnd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 phase 1 and 2 </w:t>
                  </w:r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Cardio-Vascular therapeutic </w:t>
                  </w:r>
                  <w:proofErr w:type="gramStart"/>
                  <w:r w:rsidRPr="00651ABF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area</w:t>
                  </w:r>
                  <w:proofErr w:type="gramEnd"/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  <w:p w:rsidR="00651ABF" w:rsidRPr="00651ABF" w:rsidRDefault="00651ABF" w:rsidP="00651ABF">
                  <w:pPr>
                    <w:widowControl w:val="0"/>
                    <w:numPr>
                      <w:ilvl w:val="0"/>
                      <w:numId w:val="3"/>
                    </w:numPr>
                    <w:shd w:val="solid" w:color="FFFFFF" w:fill="FFFFFF"/>
                    <w:overflowPunct w:val="0"/>
                    <w:autoSpaceDE w:val="0"/>
                    <w:autoSpaceDN w:val="0"/>
                    <w:adjustRightInd w:val="0"/>
                    <w:ind w:left="360" w:hanging="360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Integrate Data from wide range of sources including in-house clinical data management systems, labs and contract research organizations and perform data cleaning with data steps using </w:t>
                  </w:r>
                  <w:r w:rsidRPr="00651ABF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DLM, DSM, and COMMA9. TRUNCOVER, MISSOVER</w:t>
                  </w:r>
                  <w:r w:rsidRPr="00651ABF">
                    <w:rPr>
                      <w:rFonts w:asciiTheme="majorHAnsi" w:hAnsiTheme="majorHAnsi"/>
                      <w:sz w:val="20"/>
                      <w:szCs w:val="20"/>
                    </w:rPr>
                    <w:t xml:space="preserve"> etc.</w:t>
                  </w:r>
                </w:p>
                <w:p w:rsidR="00651ABF" w:rsidRPr="00651ABF" w:rsidRDefault="00651AB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0D27C5" w:rsidRPr="00651ABF" w:rsidRDefault="000D27C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E143D2" w:rsidRPr="00651ABF" w:rsidRDefault="00E143D2">
      <w:pPr>
        <w:rPr>
          <w:rFonts w:asciiTheme="majorHAnsi" w:hAnsiTheme="majorHAnsi"/>
          <w:sz w:val="20"/>
          <w:szCs w:val="20"/>
        </w:rPr>
      </w:pPr>
    </w:p>
    <w:p w:rsidR="00651ABF" w:rsidRPr="00651ABF" w:rsidRDefault="00651ABF">
      <w:pPr>
        <w:rPr>
          <w:rFonts w:asciiTheme="majorHAnsi" w:hAnsiTheme="majorHAnsi"/>
          <w:sz w:val="20"/>
          <w:szCs w:val="20"/>
        </w:rPr>
      </w:pPr>
    </w:p>
    <w:p w:rsidR="00651ABF" w:rsidRPr="00651ABF" w:rsidRDefault="00651ABF" w:rsidP="00651ABF">
      <w:pPr>
        <w:pStyle w:val="NoSpacing"/>
        <w:rPr>
          <w:rFonts w:asciiTheme="majorHAnsi" w:hAnsiTheme="majorHAnsi"/>
          <w:sz w:val="20"/>
          <w:szCs w:val="20"/>
        </w:rPr>
      </w:pPr>
      <w:r w:rsidRPr="00651ABF">
        <w:rPr>
          <w:rFonts w:asciiTheme="majorHAnsi" w:hAnsiTheme="majorHAnsi"/>
          <w:sz w:val="20"/>
          <w:szCs w:val="20"/>
        </w:rPr>
        <w:t xml:space="preserve">Education: </w:t>
      </w:r>
      <w:r w:rsidRPr="00651ABF">
        <w:rPr>
          <w:rFonts w:asciiTheme="majorHAnsi" w:hAnsiTheme="majorHAnsi"/>
          <w:b/>
          <w:sz w:val="20"/>
          <w:szCs w:val="20"/>
        </w:rPr>
        <w:t>BS in Biomedical Engineering</w:t>
      </w:r>
      <w:r w:rsidRPr="00651ABF">
        <w:rPr>
          <w:rFonts w:asciiTheme="majorHAnsi" w:hAnsiTheme="majorHAnsi"/>
          <w:sz w:val="20"/>
          <w:szCs w:val="20"/>
        </w:rPr>
        <w:t xml:space="preserve">, Jawaharlal Nehru Technological University, India, June ‘06 </w:t>
      </w:r>
    </w:p>
    <w:p w:rsidR="00651ABF" w:rsidRPr="00651ABF" w:rsidRDefault="00651ABF" w:rsidP="00651ABF">
      <w:pPr>
        <w:rPr>
          <w:rFonts w:asciiTheme="majorHAnsi" w:eastAsia="Calibri" w:hAnsiTheme="majorHAnsi" w:cs="Times New Roman"/>
          <w:sz w:val="20"/>
          <w:szCs w:val="20"/>
        </w:rPr>
      </w:pPr>
      <w:r w:rsidRPr="00651ABF">
        <w:rPr>
          <w:rFonts w:asciiTheme="majorHAnsi" w:eastAsia="Calibri" w:hAnsiTheme="majorHAnsi" w:cs="Times New Roman"/>
          <w:sz w:val="20"/>
          <w:szCs w:val="20"/>
        </w:rPr>
        <w:t>[Completed]    2002-2006</w:t>
      </w:r>
    </w:p>
    <w:bookmarkEnd w:id="0"/>
    <w:p w:rsidR="00651ABF" w:rsidRPr="00651ABF" w:rsidRDefault="00651ABF">
      <w:pPr>
        <w:rPr>
          <w:rFonts w:asciiTheme="majorHAnsi" w:hAnsiTheme="majorHAnsi"/>
          <w:sz w:val="20"/>
          <w:szCs w:val="20"/>
        </w:rPr>
      </w:pPr>
    </w:p>
    <w:sectPr w:rsidR="00651ABF" w:rsidRPr="0065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CDA6102"/>
    <w:lvl w:ilvl="0">
      <w:numFmt w:val="bullet"/>
      <w:lvlText w:val="*"/>
      <w:lvlJc w:val="left"/>
    </w:lvl>
  </w:abstractNum>
  <w:abstractNum w:abstractNumId="1">
    <w:nsid w:val="25E56F44"/>
    <w:multiLevelType w:val="multilevel"/>
    <w:tmpl w:val="1BBEBE10"/>
    <w:lvl w:ilvl="0">
      <w:start w:val="1"/>
      <w:numFmt w:val="bullet"/>
      <w:lvlText w:val="●"/>
      <w:lvlJc w:val="left"/>
      <w:pPr>
        <w:ind w:left="108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14"/>
        <w:u w:val="none"/>
        <w:effect w:val="none"/>
        <w:vertAlign w:val="baseline"/>
      </w:rPr>
    </w:lvl>
    <w:lvl w:ilvl="1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2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4">
      <w:start w:val="1"/>
      <w:numFmt w:val="bullet"/>
      <w:lvlText w:val="●"/>
      <w:lvlJc w:val="left"/>
      <w:pPr>
        <w:ind w:left="396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Text w:val="●"/>
      <w:lvlJc w:val="left"/>
      <w:pPr>
        <w:ind w:left="468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Text w:val="●"/>
      <w:lvlJc w:val="left"/>
      <w:pPr>
        <w:ind w:left="612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  <w:lvl w:ilvl="8">
      <w:start w:val="1"/>
      <w:numFmt w:val="bullet"/>
      <w:lvlText w:val="●"/>
      <w:lvlJc w:val="left"/>
      <w:pPr>
        <w:ind w:left="684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u w:val="none"/>
        <w:effect w:val="none"/>
        <w:vertAlign w:val="baseline"/>
      </w:rPr>
    </w:lvl>
  </w:abstractNum>
  <w:abstractNum w:abstractNumId="2">
    <w:nsid w:val="69BA59A3"/>
    <w:multiLevelType w:val="hybridMultilevel"/>
    <w:tmpl w:val="7D6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C5"/>
    <w:rsid w:val="000D27C5"/>
    <w:rsid w:val="002E1CA2"/>
    <w:rsid w:val="00651ABF"/>
    <w:rsid w:val="00E1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7C5"/>
    <w:pPr>
      <w:ind w:left="720"/>
      <w:contextualSpacing/>
    </w:pPr>
  </w:style>
  <w:style w:type="paragraph" w:customStyle="1" w:styleId="normal00200028web0029">
    <w:name w:val="normal_0020_0028web_0029"/>
    <w:basedOn w:val="Normal"/>
    <w:rsid w:val="002E1CA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">
    <w:name w:val="No Spacing"/>
    <w:uiPriority w:val="1"/>
    <w:qFormat/>
    <w:rsid w:val="00651ABF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7C5"/>
    <w:pPr>
      <w:ind w:left="720"/>
      <w:contextualSpacing/>
    </w:pPr>
  </w:style>
  <w:style w:type="paragraph" w:customStyle="1" w:styleId="normal00200028web0029">
    <w:name w:val="normal_0020_0028web_0029"/>
    <w:basedOn w:val="Normal"/>
    <w:rsid w:val="002E1CA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">
    <w:name w:val="No Spacing"/>
    <w:uiPriority w:val="1"/>
    <w:qFormat/>
    <w:rsid w:val="00651ABF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2015-02-04T21:56:00Z</dcterms:created>
  <dcterms:modified xsi:type="dcterms:W3CDTF">2015-02-04T22:23:00Z</dcterms:modified>
</cp:coreProperties>
</file>