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B4F72"/>
          <w:sz w:val="28"/>
          <w:szCs w:val="28"/>
        </w:rPr>
        <w:t xml:space="preserve">SKYLA CREDIT UNION</w:t>
      </w:r>
    </w:p>
    <w:p>
      <w:pPr>
        <w:spacing w:after="200"/>
        <w:jc w:val="center"/>
      </w:pPr>
      <w:r>
        <w:rPr>
          <w:rFonts w:ascii="Arial" w:cs="Arial" w:eastAsia="Arial" w:hAnsi="Arial"/>
          <w:color w:val="666666"/>
          <w:sz w:val="24"/>
          <w:szCs w:val="24"/>
        </w:rPr>
        <w:t xml:space="preserve">Stablecoin Innovation Workshop</w:t>
      </w:r>
    </w:p>
    <w:p>
      <w:pPr>
        <w:shd w:fill="1B4F72" w:val="clear"/>
        <w:spacing w:after="200"/>
        <w:jc w:val="center"/>
      </w:pPr>
      <w:r>
        <w:rPr>
          <w:rFonts w:ascii="Arial" w:cs="Arial" w:eastAsia="Arial" w:hAnsi="Arial"/>
          <w:b/>
          <w:bCs/>
          <w:color w:val="FFFFFF"/>
          <w:sz w:val="32"/>
          <w:szCs w:val="32"/>
        </w:rPr>
        <w:t xml:space="preserve">  Blockchain Explorer: Detailed Walkthrough  </w:t>
      </w:r>
    </w:p>
    <w:p>
      <w:pPr>
        <w:spacing w:after="240"/>
        <w:jc w:val="center"/>
      </w:pPr>
      <w:r>
        <w:rPr>
          <w:rFonts w:ascii="Arial" w:cs="Arial" w:eastAsia="Arial" w:hAnsi="Arial"/>
          <w:i/>
          <w:iCs/>
          <w:color w:val="666666"/>
          <w:sz w:val="22"/>
          <w:szCs w:val="22"/>
        </w:rPr>
        <w:t xml:space="preserve">Reference Guide — What Every Element Means</w:t>
      </w:r>
    </w:p>
    <w:p>
      <w:pPr>
        <w:pStyle w:val="Heading1"/>
        <w:spacing w:before="200" w:after="120"/>
      </w:pPr>
      <w:r>
        <w:rPr>
          <w:rFonts w:ascii="Arial" w:cs="Arial" w:eastAsia="Arial" w:hAnsi="Arial"/>
          <w:b/>
          <w:bCs/>
          <w:color w:val="1B4F72"/>
          <w:sz w:val="32"/>
          <w:szCs w:val="32"/>
        </w:rPr>
        <w:t xml:space="preserve">Anatomy of a Token Page (Etherscan)</w:t>
      </w:r>
    </w:p>
    <w:p>
      <w:pPr>
        <w:spacing w:after="120"/>
      </w:pPr>
      <w:r>
        <w:rPr>
          <w:rFonts w:ascii="Arial" w:cs="Arial" w:eastAsia="Arial" w:hAnsi="Arial"/>
          <w:sz w:val="22"/>
          <w:szCs w:val="22"/>
        </w:rPr>
        <w:t xml:space="preserve">When you open a stablecoin token page on Etherscan, you see a wealth of information. Here's how to read every section:</w:t>
      </w:r>
    </w:p>
    <w:p>
      <w:pPr>
        <w:spacing w:after="160"/>
      </w:pPr>
    </w:p>
    <w:p>
      <w:pPr>
        <w:pStyle w:val="Heading2"/>
        <w:spacing w:before="200" w:after="120"/>
      </w:pPr>
      <w:r>
        <w:rPr>
          <w:rFonts w:ascii="Arial" w:cs="Arial" w:eastAsia="Arial" w:hAnsi="Arial"/>
          <w:b/>
          <w:bCs/>
          <w:color w:val="1B4F72"/>
          <w:sz w:val="26"/>
          <w:szCs w:val="26"/>
        </w:rPr>
        <w:t xml:space="preserve">Header Metrics Bar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3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What You See</w:t>
            </w:r>
          </w:p>
        </w:tc>
        <w:tc>
          <w:tcPr>
            <w:tcW w:type="dxa" w:w="23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What It Means</w:t>
            </w:r>
          </w:p>
        </w:tc>
        <w:tc>
          <w:tcPr>
            <w:tcW w:type="dxa" w:w="23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Why It Matters</w:t>
            </w:r>
          </w:p>
        </w:tc>
      </w:tr>
      <w:tr>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19"/>
                <w:szCs w:val="19"/>
              </w:rPr>
              <w:t xml:space="preserve">Price</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19"/>
                <w:szCs w:val="19"/>
              </w:rPr>
              <w:t xml:space="preserve">$1.00</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19"/>
                <w:szCs w:val="19"/>
              </w:rPr>
              <w:t xml:space="preserve">Current market value per token</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19"/>
                <w:szCs w:val="19"/>
              </w:rPr>
              <w:t xml:space="preserve">Should always be ~$1 for stablecoins; deviation signals issues</w:t>
            </w:r>
          </w:p>
        </w:tc>
      </w:tr>
      <w:tr>
        <w:tc>
          <w:tcPr>
            <w:tcW w:type="dxa" w:w="234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19"/>
                <w:szCs w:val="19"/>
              </w:rPr>
              <w:t xml:space="preserve">Market Cap</w:t>
            </w:r>
          </w:p>
        </w:tc>
        <w:tc>
          <w:tcPr>
            <w:tcW w:type="dxa" w:w="234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19"/>
                <w:szCs w:val="19"/>
              </w:rPr>
              <w:t xml:space="preserve">$45.2B</w:t>
            </w:r>
          </w:p>
        </w:tc>
        <w:tc>
          <w:tcPr>
            <w:tcW w:type="dxa" w:w="234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19"/>
                <w:szCs w:val="19"/>
              </w:rPr>
              <w:t xml:space="preserve">Total supply × price</w:t>
            </w:r>
          </w:p>
        </w:tc>
        <w:tc>
          <w:tcPr>
            <w:tcW w:type="dxa" w:w="234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19"/>
                <w:szCs w:val="19"/>
              </w:rPr>
              <w:t xml:space="preserve">Shows total value locked in this stablecoin</w:t>
            </w:r>
          </w:p>
        </w:tc>
      </w:tr>
      <w:tr>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19"/>
                <w:szCs w:val="19"/>
              </w:rPr>
              <w:t xml:space="preserve">Holders</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19"/>
                <w:szCs w:val="19"/>
              </w:rPr>
              <w:t xml:space="preserve">2,847,392</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19"/>
                <w:szCs w:val="19"/>
              </w:rPr>
              <w:t xml:space="preserve">Unique wallet addresses holding tokens</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19"/>
                <w:szCs w:val="19"/>
              </w:rPr>
              <w:t xml:space="preserve">Indicates adoption and distribution</w:t>
            </w:r>
          </w:p>
        </w:tc>
      </w:tr>
      <w:tr>
        <w:tc>
          <w:tcPr>
            <w:tcW w:type="dxa" w:w="234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19"/>
                <w:szCs w:val="19"/>
              </w:rPr>
              <w:t xml:space="preserve">Transfers</w:t>
            </w:r>
          </w:p>
        </w:tc>
        <w:tc>
          <w:tcPr>
            <w:tcW w:type="dxa" w:w="234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19"/>
                <w:szCs w:val="19"/>
              </w:rPr>
              <w:t xml:space="preserve">1.2M (24h)</w:t>
            </w:r>
          </w:p>
        </w:tc>
        <w:tc>
          <w:tcPr>
            <w:tcW w:type="dxa" w:w="234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19"/>
                <w:szCs w:val="19"/>
              </w:rPr>
              <w:t xml:space="preserve">Transactions in last 24 hours</w:t>
            </w:r>
          </w:p>
        </w:tc>
        <w:tc>
          <w:tcPr>
            <w:tcW w:type="dxa" w:w="234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19"/>
                <w:szCs w:val="19"/>
              </w:rPr>
              <w:t xml:space="preserve">Shows actual usage and velocity</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D6EAF8" w:val="clear"/>
            <w:tcMar>
              <w:top w:type="dxa" w:w="120"/>
              <w:left w:type="dxa" w:w="200"/>
              <w:bottom w:type="dxa" w:w="120"/>
              <w:right w:type="dxa" w:w="200"/>
            </w:tcMar>
          </w:tcPr>
          <w:p>
            <w:pPr>
              <w:spacing w:after="80"/>
            </w:pPr>
            <w:r>
              <w:rPr>
                <w:rFonts w:ascii="Arial" w:cs="Arial" w:eastAsia="Arial" w:hAnsi="Arial"/>
                <w:b/>
                <w:bCs/>
                <w:sz w:val="22"/>
                <w:szCs w:val="22"/>
              </w:rPr>
              <w:t xml:space="preserve">🎯 Facilitator Talking Point</w:t>
            </w:r>
          </w:p>
          <w:p>
            <w:pPr>
              <w:spacing w:after="60"/>
            </w:pPr>
            <w:r>
              <w:rPr>
                <w:rFonts w:ascii="Arial" w:cs="Arial" w:eastAsia="Arial" w:hAnsi="Arial"/>
                <w:sz w:val="21"/>
                <w:szCs w:val="21"/>
              </w:rPr>
              <w:t xml:space="preserve">Ask participants: "How often does your bank tell you how many customers they have or how much money moved through their system today?" This data is updated every 12 seconds on blockchain.</w:t>
            </w:r>
          </w:p>
        </w:tc>
      </w:tr>
    </w:tbl>
    <w:p>
      <w:pPr>
        <w:spacing w:after="200"/>
      </w:pPr>
    </w:p>
    <w:p>
      <w:pPr>
        <w:pStyle w:val="Heading2"/>
        <w:spacing w:before="200" w:after="120"/>
      </w:pPr>
      <w:r>
        <w:rPr>
          <w:rFonts w:ascii="Arial" w:cs="Arial" w:eastAsia="Arial" w:hAnsi="Arial"/>
          <w:b/>
          <w:bCs/>
          <w:color w:val="1B4F72"/>
          <w:sz w:val="26"/>
          <w:szCs w:val="26"/>
        </w:rPr>
        <w:t xml:space="preserve">Contract Information Section</w:t>
      </w:r>
    </w:p>
    <w:p>
      <w:pPr>
        <w:spacing w:before="160" w:after="60"/>
      </w:pPr>
      <w:r>
        <w:rPr>
          <w:rFonts w:ascii="Arial" w:cs="Arial" w:eastAsia="Arial" w:hAnsi="Arial"/>
          <w:b/>
          <w:bCs/>
          <w:color w:val="1B4F72"/>
          <w:sz w:val="22"/>
          <w:szCs w:val="22"/>
        </w:rPr>
        <w:t xml:space="preserve">1. </w:t>
      </w:r>
      <w:r>
        <w:rPr>
          <w:rFonts w:ascii="Arial" w:cs="Arial" w:eastAsia="Arial" w:hAnsi="Arial"/>
          <w:b/>
          <w:bCs/>
          <w:sz w:val="22"/>
          <w:szCs w:val="22"/>
        </w:rPr>
        <w:t xml:space="preserve">Contract Address</w:t>
      </w:r>
    </w:p>
    <w:p>
      <w:pPr>
        <w:spacing w:after="120"/>
        <w:ind w:left="360"/>
      </w:pPr>
      <w:r>
        <w:rPr>
          <w:rFonts w:ascii="Arial" w:cs="Arial" w:eastAsia="Arial" w:hAnsi="Arial"/>
          <w:color w:val="444444"/>
          <w:sz w:val="21"/>
          <w:szCs w:val="21"/>
        </w:rPr>
        <w:t xml:space="preserve">The unique identifier for this stablecoin's smart contract (e.g., 0xa0b86991c6218b36c1d19d4a2e9eb0ce3606eb48 for USDC). Think of it like a routing number, but for code that manages the money.</w:t>
      </w:r>
    </w:p>
    <w:p>
      <w:pPr>
        <w:spacing w:before="160" w:after="60"/>
      </w:pPr>
      <w:r>
        <w:rPr>
          <w:rFonts w:ascii="Arial" w:cs="Arial" w:eastAsia="Arial" w:hAnsi="Arial"/>
          <w:b/>
          <w:bCs/>
          <w:color w:val="1B4F72"/>
          <w:sz w:val="22"/>
          <w:szCs w:val="22"/>
        </w:rPr>
        <w:t xml:space="preserve">2. </w:t>
      </w:r>
      <w:r>
        <w:rPr>
          <w:rFonts w:ascii="Arial" w:cs="Arial" w:eastAsia="Arial" w:hAnsi="Arial"/>
          <w:b/>
          <w:bCs/>
          <w:sz w:val="22"/>
          <w:szCs w:val="22"/>
        </w:rPr>
        <w:t xml:space="preserve">Token Name &amp; Symbol</w:t>
      </w:r>
    </w:p>
    <w:p>
      <w:pPr>
        <w:spacing w:after="120"/>
        <w:ind w:left="360"/>
      </w:pPr>
      <w:r>
        <w:rPr>
          <w:rFonts w:ascii="Arial" w:cs="Arial" w:eastAsia="Arial" w:hAnsi="Arial"/>
          <w:color w:val="444444"/>
          <w:sz w:val="21"/>
          <w:szCs w:val="21"/>
        </w:rPr>
        <w:t xml:space="preserve">Official name (USD Coin) and trading symbol (USDC). Verified by the explorer to prevent scams.</w:t>
      </w:r>
    </w:p>
    <w:p>
      <w:pPr>
        <w:spacing w:before="160" w:after="60"/>
      </w:pPr>
      <w:r>
        <w:rPr>
          <w:rFonts w:ascii="Arial" w:cs="Arial" w:eastAsia="Arial" w:hAnsi="Arial"/>
          <w:b/>
          <w:bCs/>
          <w:color w:val="1B4F72"/>
          <w:sz w:val="22"/>
          <w:szCs w:val="22"/>
        </w:rPr>
        <w:t xml:space="preserve">3. </w:t>
      </w:r>
      <w:r>
        <w:rPr>
          <w:rFonts w:ascii="Arial" w:cs="Arial" w:eastAsia="Arial" w:hAnsi="Arial"/>
          <w:b/>
          <w:bCs/>
          <w:sz w:val="22"/>
          <w:szCs w:val="22"/>
        </w:rPr>
        <w:t xml:space="preserve">Decimals</w:t>
      </w:r>
    </w:p>
    <w:p>
      <w:pPr>
        <w:spacing w:after="120"/>
        <w:ind w:left="360"/>
      </w:pPr>
      <w:r>
        <w:rPr>
          <w:rFonts w:ascii="Arial" w:cs="Arial" w:eastAsia="Arial" w:hAnsi="Arial"/>
          <w:color w:val="444444"/>
          <w:sz w:val="21"/>
          <w:szCs w:val="21"/>
        </w:rPr>
        <w:t xml:space="preserve">How divisible the token is. USDC has 6 decimals, meaning you can send 0.000001 USDC ($0.000001). This enables micropayments impossible with traditional banking.</w:t>
      </w:r>
    </w:p>
    <w:p>
      <w:pPr>
        <w:spacing w:before="160" w:after="60"/>
      </w:pPr>
      <w:r>
        <w:rPr>
          <w:rFonts w:ascii="Arial" w:cs="Arial" w:eastAsia="Arial" w:hAnsi="Arial"/>
          <w:b/>
          <w:bCs/>
          <w:color w:val="1B4F72"/>
          <w:sz w:val="22"/>
          <w:szCs w:val="22"/>
        </w:rPr>
        <w:t xml:space="preserve">4. </w:t>
      </w:r>
      <w:r>
        <w:rPr>
          <w:rFonts w:ascii="Arial" w:cs="Arial" w:eastAsia="Arial" w:hAnsi="Arial"/>
          <w:b/>
          <w:bCs/>
          <w:sz w:val="22"/>
          <w:szCs w:val="22"/>
        </w:rPr>
        <w:t xml:space="preserve">Total Supply</w:t>
      </w:r>
    </w:p>
    <w:p>
      <w:pPr>
        <w:spacing w:after="120"/>
        <w:ind w:left="360"/>
      </w:pPr>
      <w:r>
        <w:rPr>
          <w:rFonts w:ascii="Arial" w:cs="Arial" w:eastAsia="Arial" w:hAnsi="Arial"/>
          <w:color w:val="444444"/>
          <w:sz w:val="21"/>
          <w:szCs w:val="21"/>
        </w:rPr>
        <w:t xml:space="preserve">Every token in existence right now. Unlike traditional money supply (which banks estimate quarterly), this is exact and real-time.</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F8F9FA" w:val="clear"/>
            <w:tcMar>
              <w:top w:type="dxa" w:w="120"/>
              <w:left w:type="dxa" w:w="200"/>
              <w:bottom w:type="dxa" w:w="120"/>
              <w:right w:type="dxa" w:w="200"/>
            </w:tcMar>
          </w:tcPr>
          <w:p>
            <w:pPr>
              <w:spacing w:after="80"/>
            </w:pPr>
            <w:r>
              <w:rPr>
                <w:rFonts w:ascii="Arial" w:cs="Arial" w:eastAsia="Arial" w:hAnsi="Arial"/>
                <w:b/>
                <w:bCs/>
                <w:sz w:val="22"/>
                <w:szCs w:val="22"/>
              </w:rPr>
              <w:t xml:space="preserve">💡 Key Insight: Verified Contracts</w:t>
            </w:r>
          </w:p>
          <w:p>
            <w:pPr>
              <w:spacing w:after="60"/>
            </w:pPr>
            <w:r>
              <w:rPr>
                <w:rFonts w:ascii="Arial" w:cs="Arial" w:eastAsia="Arial" w:hAnsi="Arial"/>
                <w:sz w:val="21"/>
                <w:szCs w:val="21"/>
              </w:rPr>
              <w:t xml:space="preserve">Look for the green checkmark next to "Contract." This means the source code is published and anyone can read exactly how this money works. No traditional bank publishes their core banking code.</w:t>
            </w:r>
          </w:p>
        </w:tc>
      </w:tr>
    </w:tbl>
    <w:p>
      <w:pPr>
        <w:spacing w:after="100"/>
      </w:pPr>
    </w:p>
    <w:p>
      <w:r>
        <w:br w:type="page"/>
      </w:r>
    </w:p>
    <w:p>
      <w:pPr>
        <w:spacing w:after="200"/>
        <w:jc w:val="right"/>
      </w:pPr>
      <w:r>
        <w:rPr>
          <w:rFonts w:ascii="Arial" w:cs="Arial" w:eastAsia="Arial" w:hAnsi="Arial"/>
          <w:i/>
          <w:iCs/>
          <w:color w:val="999999"/>
          <w:sz w:val="18"/>
          <w:szCs w:val="18"/>
        </w:rPr>
        <w:t xml:space="preserve">Blockchain Explorer: Detailed Walkthrough — Page 2</w:t>
      </w:r>
    </w:p>
    <w:p>
      <w:pPr>
        <w:pStyle w:val="Heading1"/>
        <w:spacing w:before="200" w:after="120"/>
      </w:pPr>
      <w:r>
        <w:rPr>
          <w:rFonts w:ascii="Arial" w:cs="Arial" w:eastAsia="Arial" w:hAnsi="Arial"/>
          <w:b/>
          <w:bCs/>
          <w:color w:val="1B4F72"/>
          <w:sz w:val="32"/>
          <w:szCs w:val="32"/>
        </w:rPr>
        <w:t xml:space="preserve">The Transfers Tab: Live Transaction Feed</w:t>
      </w:r>
    </w:p>
    <w:p>
      <w:pPr>
        <w:spacing w:after="120"/>
      </w:pPr>
      <w:r>
        <w:rPr>
          <w:rFonts w:ascii="Arial" w:cs="Arial" w:eastAsia="Arial" w:hAnsi="Arial"/>
          <w:sz w:val="22"/>
          <w:szCs w:val="22"/>
        </w:rPr>
        <w:t xml:space="preserve">This is where you see money moving in real-time. Each row represents an actual transfer that just happened somewhere in the world.</w:t>
      </w:r>
    </w:p>
    <w:p>
      <w:pPr>
        <w:spacing w:after="1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3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Example</w:t>
            </w:r>
          </w:p>
        </w:tc>
        <w:tc>
          <w:tcPr>
            <w:tcW w:type="dxa" w:w="3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Explanation</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19"/>
                <w:szCs w:val="19"/>
              </w:rPr>
              <w:t xml:space="preserve">Txn Hash</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19"/>
                <w:szCs w:val="19"/>
              </w:rPr>
              <w:t xml:space="preserve">0x8f3a2b...</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19"/>
                <w:szCs w:val="19"/>
              </w:rPr>
              <w:t xml:space="preserve">Unique ID for this transaction — click to see full details</w:t>
            </w:r>
          </w:p>
        </w:tc>
      </w:tr>
      <w:tr>
        <w:tc>
          <w:tcPr>
            <w:tcW w:type="dxa" w:w="312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19"/>
                <w:szCs w:val="19"/>
              </w:rPr>
              <w:t xml:space="preserve">Method</w:t>
            </w:r>
          </w:p>
        </w:tc>
        <w:tc>
          <w:tcPr>
            <w:tcW w:type="dxa" w:w="312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19"/>
                <w:szCs w:val="19"/>
              </w:rPr>
              <w:t xml:space="preserve">Transfer</w:t>
            </w:r>
          </w:p>
        </w:tc>
        <w:tc>
          <w:tcPr>
            <w:tcW w:type="dxa" w:w="312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19"/>
                <w:szCs w:val="19"/>
              </w:rPr>
              <w:t xml:space="preserve">What action occurred (Transfer, Approve, Mint, Burn)</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19"/>
                <w:szCs w:val="19"/>
              </w:rPr>
              <w:t xml:space="preserve">Block</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19"/>
                <w:szCs w:val="19"/>
              </w:rPr>
              <w:t xml:space="preserve">19284756</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19"/>
                <w:szCs w:val="19"/>
              </w:rPr>
              <w:t xml:space="preserve">Which block included this transaction (blocks = batches)</w:t>
            </w:r>
          </w:p>
        </w:tc>
      </w:tr>
      <w:tr>
        <w:tc>
          <w:tcPr>
            <w:tcW w:type="dxa" w:w="312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19"/>
                <w:szCs w:val="19"/>
              </w:rPr>
              <w:t xml:space="preserve">Age</w:t>
            </w:r>
          </w:p>
        </w:tc>
        <w:tc>
          <w:tcPr>
            <w:tcW w:type="dxa" w:w="312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19"/>
                <w:szCs w:val="19"/>
              </w:rPr>
              <w:t xml:space="preserve">12 secs ago</w:t>
            </w:r>
          </w:p>
        </w:tc>
        <w:tc>
          <w:tcPr>
            <w:tcW w:type="dxa" w:w="312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19"/>
                <w:szCs w:val="19"/>
              </w:rPr>
              <w:t xml:space="preserve">How long since confirmation — notice how recent these are!</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19"/>
                <w:szCs w:val="19"/>
              </w:rPr>
              <w:t xml:space="preserve">From</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19"/>
                <w:szCs w:val="19"/>
              </w:rPr>
              <w:t xml:space="preserve">0x7a25...</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19"/>
                <w:szCs w:val="19"/>
              </w:rPr>
              <w:t xml:space="preserve">Sender's wallet address</w:t>
            </w:r>
          </w:p>
        </w:tc>
      </w:tr>
      <w:tr>
        <w:tc>
          <w:tcPr>
            <w:tcW w:type="dxa" w:w="312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19"/>
                <w:szCs w:val="19"/>
              </w:rPr>
              <w:t xml:space="preserve">To</w:t>
            </w:r>
          </w:p>
        </w:tc>
        <w:tc>
          <w:tcPr>
            <w:tcW w:type="dxa" w:w="312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19"/>
                <w:szCs w:val="19"/>
              </w:rPr>
              <w:t xml:space="preserve">0x3fC9...</w:t>
            </w:r>
          </w:p>
        </w:tc>
        <w:tc>
          <w:tcPr>
            <w:tcW w:type="dxa" w:w="312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19"/>
                <w:szCs w:val="19"/>
              </w:rPr>
              <w:t xml:space="preserve">Recipient's wallet address</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19"/>
                <w:szCs w:val="19"/>
              </w:rPr>
              <w:t xml:space="preserve">Value</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19"/>
                <w:szCs w:val="19"/>
              </w:rPr>
              <w:t xml:space="preserve">50,000</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19"/>
                <w:szCs w:val="19"/>
              </w:rPr>
              <w:t xml:space="preserve">Amount transferred in tokens</w:t>
            </w:r>
          </w:p>
        </w:tc>
      </w:tr>
    </w:tbl>
    <w:p>
      <w:pPr>
        <w:spacing w:after="200"/>
      </w:pPr>
    </w:p>
    <w:p>
      <w:pPr>
        <w:pStyle w:val="Heading3"/>
        <w:spacing w:before="200" w:after="120"/>
      </w:pPr>
      <w:r>
        <w:rPr>
          <w:rFonts w:ascii="Arial" w:cs="Arial" w:eastAsia="Arial" w:hAnsi="Arial"/>
          <w:b/>
          <w:bCs/>
          <w:color w:val="1B4F72"/>
          <w:sz w:val="22"/>
          <w:szCs w:val="22"/>
        </w:rPr>
        <w:t xml:space="preserve">Understanding Transaction Methods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What It Means</w:t>
            </w:r>
          </w:p>
        </w:tc>
        <w:tc>
          <w:tcPr>
            <w:tcW w:type="dxa" w:w="3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Banking Analogy</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19"/>
                <w:szCs w:val="19"/>
              </w:rPr>
              <w:t xml:space="preserve">Transfer</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19"/>
                <w:szCs w:val="19"/>
              </w:rPr>
              <w:t xml:space="preserve">Moving tokens from one wallet to another</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19"/>
                <w:szCs w:val="19"/>
              </w:rPr>
              <w:t xml:space="preserve">Wire transfer or ACH</w:t>
            </w:r>
          </w:p>
        </w:tc>
      </w:tr>
      <w:tr>
        <w:tc>
          <w:tcPr>
            <w:tcW w:type="dxa" w:w="312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19"/>
                <w:szCs w:val="19"/>
              </w:rPr>
              <w:t xml:space="preserve">Approve</w:t>
            </w:r>
          </w:p>
        </w:tc>
        <w:tc>
          <w:tcPr>
            <w:tcW w:type="dxa" w:w="312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19"/>
                <w:szCs w:val="19"/>
              </w:rPr>
              <w:t xml:space="preserve">Giving permission for another contract to spend tokens</w:t>
            </w:r>
          </w:p>
        </w:tc>
        <w:tc>
          <w:tcPr>
            <w:tcW w:type="dxa" w:w="312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19"/>
                <w:szCs w:val="19"/>
              </w:rPr>
              <w:t xml:space="preserve">Setting up autopay authorization</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19"/>
                <w:szCs w:val="19"/>
              </w:rPr>
              <w:t xml:space="preserve">Mint</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19"/>
                <w:szCs w:val="19"/>
              </w:rPr>
              <w:t xml:space="preserve">Creating new tokens (only issuer can do this)</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19"/>
                <w:szCs w:val="19"/>
              </w:rPr>
              <w:t xml:space="preserve">Federal Reserve printing money</w:t>
            </w:r>
          </w:p>
        </w:tc>
      </w:tr>
      <w:tr>
        <w:tc>
          <w:tcPr>
            <w:tcW w:type="dxa" w:w="312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19"/>
                <w:szCs w:val="19"/>
              </w:rPr>
              <w:t xml:space="preserve">Burn</w:t>
            </w:r>
          </w:p>
        </w:tc>
        <w:tc>
          <w:tcPr>
            <w:tcW w:type="dxa" w:w="312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19"/>
                <w:szCs w:val="19"/>
              </w:rPr>
              <w:t xml:space="preserve">Destroying tokens permanently</w:t>
            </w:r>
          </w:p>
        </w:tc>
        <w:tc>
          <w:tcPr>
            <w:tcW w:type="dxa" w:w="312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19"/>
                <w:szCs w:val="19"/>
              </w:rPr>
              <w:t xml:space="preserve">Taking money out of circulation</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D6EAF8" w:val="clear"/>
            <w:tcMar>
              <w:top w:type="dxa" w:w="120"/>
              <w:left w:type="dxa" w:w="200"/>
              <w:bottom w:type="dxa" w:w="120"/>
              <w:right w:type="dxa" w:w="200"/>
            </w:tcMar>
          </w:tcPr>
          <w:p>
            <w:pPr>
              <w:spacing w:after="80"/>
            </w:pPr>
            <w:r>
              <w:rPr>
                <w:rFonts w:ascii="Arial" w:cs="Arial" w:eastAsia="Arial" w:hAnsi="Arial"/>
                <w:b/>
                <w:bCs/>
                <w:sz w:val="22"/>
                <w:szCs w:val="22"/>
              </w:rPr>
              <w:t xml:space="preserve">🔍 Live Exercise</w:t>
            </w:r>
          </w:p>
          <w:p>
            <w:pPr>
              <w:spacing w:after="60"/>
            </w:pPr>
            <w:r>
              <w:rPr>
                <w:rFonts w:ascii="Arial" w:cs="Arial" w:eastAsia="Arial" w:hAnsi="Arial"/>
                <w:sz w:val="21"/>
                <w:szCs w:val="21"/>
              </w:rPr>
              <w:t xml:space="preserve">Click "Transfers" and watch for 30 seconds. Count how many transactions appear. Each one is real money moving. Now calculate: if each averages $5,000, how much moved while you watched?</w:t>
            </w:r>
          </w:p>
        </w:tc>
      </w:tr>
    </w:tbl>
    <w:p>
      <w:pPr>
        <w:spacing w:after="200"/>
      </w:pPr>
    </w:p>
    <w:p>
      <w:pPr>
        <w:pStyle w:val="Heading1"/>
        <w:spacing w:before="200" w:after="120"/>
      </w:pPr>
      <w:r>
        <w:rPr>
          <w:rFonts w:ascii="Arial" w:cs="Arial" w:eastAsia="Arial" w:hAnsi="Arial"/>
          <w:b/>
          <w:bCs/>
          <w:color w:val="1B4F72"/>
          <w:sz w:val="32"/>
          <w:szCs w:val="32"/>
        </w:rPr>
        <w:t xml:space="preserve">Inside a Single Transaction</w:t>
      </w:r>
    </w:p>
    <w:p>
      <w:pPr>
        <w:spacing w:after="120"/>
      </w:pPr>
      <w:r>
        <w:rPr>
          <w:rFonts w:ascii="Arial" w:cs="Arial" w:eastAsia="Arial" w:hAnsi="Arial"/>
          <w:sz w:val="22"/>
          <w:szCs w:val="22"/>
        </w:rPr>
        <w:t xml:space="preserve">Click any transaction hash to see complete details. This is the equivalent of a bank statement line item — but with far more information and available to anyone.</w:t>
      </w:r>
    </w:p>
    <w:p>
      <w:pPr>
        <w:spacing w:after="1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3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What It Shows</w:t>
            </w:r>
          </w:p>
        </w:tc>
        <w:tc>
          <w:tcPr>
            <w:tcW w:type="dxa" w:w="3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Why It's Powerful</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19"/>
                <w:szCs w:val="19"/>
              </w:rPr>
              <w:t xml:space="preserve">Status</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19"/>
                <w:szCs w:val="19"/>
              </w:rPr>
              <w:t xml:space="preserve">Success / Failed</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19"/>
                <w:szCs w:val="19"/>
              </w:rPr>
              <w:t xml:space="preserve">Instant confirmation — no "pending" for days</w:t>
            </w:r>
          </w:p>
        </w:tc>
      </w:tr>
      <w:tr>
        <w:tc>
          <w:tcPr>
            <w:tcW w:type="dxa" w:w="312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19"/>
                <w:szCs w:val="19"/>
              </w:rPr>
              <w:t xml:space="preserve">Block Confirmations</w:t>
            </w:r>
          </w:p>
        </w:tc>
        <w:tc>
          <w:tcPr>
            <w:tcW w:type="dxa" w:w="312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19"/>
                <w:szCs w:val="19"/>
              </w:rPr>
              <w:t xml:space="preserve">47,283 confirmations</w:t>
            </w:r>
          </w:p>
        </w:tc>
        <w:tc>
          <w:tcPr>
            <w:tcW w:type="dxa" w:w="312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19"/>
                <w:szCs w:val="19"/>
              </w:rPr>
              <w:t xml:space="preserve">How many blocks since; more = more permanent</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19"/>
                <w:szCs w:val="19"/>
              </w:rPr>
              <w:t xml:space="preserve">Timestamp</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19"/>
                <w:szCs w:val="19"/>
              </w:rPr>
              <w:t xml:space="preserve">Jan 25, 2026 2:34:15 PM UTC</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19"/>
                <w:szCs w:val="19"/>
              </w:rPr>
              <w:t xml:space="preserve">Exact second of settlement — try getting that from your bank</w:t>
            </w:r>
          </w:p>
        </w:tc>
      </w:tr>
      <w:tr>
        <w:tc>
          <w:tcPr>
            <w:tcW w:type="dxa" w:w="312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19"/>
                <w:szCs w:val="19"/>
              </w:rPr>
              <w:t xml:space="preserve">From → To</w:t>
            </w:r>
          </w:p>
        </w:tc>
        <w:tc>
          <w:tcPr>
            <w:tcW w:type="dxa" w:w="312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19"/>
                <w:szCs w:val="19"/>
              </w:rPr>
              <w:t xml:space="preserve">Full addresses</w:t>
            </w:r>
          </w:p>
        </w:tc>
        <w:tc>
          <w:tcPr>
            <w:tcW w:type="dxa" w:w="312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19"/>
                <w:szCs w:val="19"/>
              </w:rPr>
              <w:t xml:space="preserve">Complete audit trail, pseudonymous but traceable</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19"/>
                <w:szCs w:val="19"/>
              </w:rPr>
              <w:t xml:space="preserve">Value</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19"/>
                <w:szCs w:val="19"/>
              </w:rPr>
              <w:t xml:space="preserve">$50,000 USDC</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19"/>
                <w:szCs w:val="19"/>
              </w:rPr>
              <w:t xml:space="preserve">Exact amount, no hidden fees in the transfer itself</w:t>
            </w:r>
          </w:p>
        </w:tc>
      </w:tr>
      <w:tr>
        <w:tc>
          <w:tcPr>
            <w:tcW w:type="dxa" w:w="312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19"/>
                <w:szCs w:val="19"/>
              </w:rPr>
              <w:t xml:space="preserve">Transaction Fee</w:t>
            </w:r>
          </w:p>
        </w:tc>
        <w:tc>
          <w:tcPr>
            <w:tcW w:type="dxa" w:w="312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19"/>
                <w:szCs w:val="19"/>
              </w:rPr>
              <w:t xml:space="preserve">$0.42</w:t>
            </w:r>
          </w:p>
        </w:tc>
        <w:tc>
          <w:tcPr>
            <w:tcW w:type="dxa" w:w="312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19"/>
                <w:szCs w:val="19"/>
              </w:rPr>
              <w:t xml:space="preserve">What sender paid the network to process this</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19"/>
                <w:szCs w:val="19"/>
              </w:rPr>
              <w:t xml:space="preserve">Gas Price</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19"/>
                <w:szCs w:val="19"/>
              </w:rPr>
              <w:t xml:space="preserve">12 Gwei</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19"/>
                <w:szCs w:val="19"/>
              </w:rPr>
              <w:t xml:space="preserve">Network congestion indicator (like surge pricing)</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F8F9FA" w:val="clear"/>
            <w:tcMar>
              <w:top w:type="dxa" w:w="120"/>
              <w:left w:type="dxa" w:w="200"/>
              <w:bottom w:type="dxa" w:w="120"/>
              <w:right w:type="dxa" w:w="200"/>
            </w:tcMar>
          </w:tcPr>
          <w:p>
            <w:pPr>
              <w:spacing w:after="80"/>
            </w:pPr>
            <w:r>
              <w:rPr>
                <w:rFonts w:ascii="Arial" w:cs="Arial" w:eastAsia="Arial" w:hAnsi="Arial"/>
                <w:b/>
                <w:bCs/>
                <w:sz w:val="22"/>
                <w:szCs w:val="22"/>
              </w:rPr>
              <w:t xml:space="preserve">⚡ Speed Comparison</w:t>
            </w:r>
          </w:p>
          <w:p>
            <w:pPr>
              <w:spacing w:after="60"/>
            </w:pPr>
            <w:r>
              <w:rPr>
                <w:rFonts w:ascii="Arial" w:cs="Arial" w:eastAsia="Arial" w:hAnsi="Arial"/>
                <w:sz w:val="21"/>
                <w:szCs w:val="21"/>
              </w:rPr>
              <w:t xml:space="preserve">Traditional wire transfer: 1-3 business days, $25-50 fee, only visible to sender/receiver banks.</w:t>
            </w:r>
          </w:p>
          <w:p>
            <w:pPr>
              <w:spacing w:after="60"/>
            </w:pPr>
            <w:r>
              <w:rPr>
                <w:rFonts w:ascii="Arial" w:cs="Arial" w:eastAsia="Arial" w:hAnsi="Arial"/>
                <w:sz w:val="21"/>
                <w:szCs w:val="21"/>
              </w:rPr>
              <w:t xml:space="preserve">Blockchain transfer: 12 seconds, &lt;$1 fee, visible to entire world permanently.</w:t>
            </w:r>
          </w:p>
        </w:tc>
      </w:tr>
    </w:tbl>
    <w:p>
      <w:pPr>
        <w:spacing w:after="100"/>
      </w:pPr>
    </w:p>
    <w:p>
      <w:r>
        <w:br w:type="page"/>
      </w:r>
    </w:p>
    <w:p>
      <w:pPr>
        <w:spacing w:after="200"/>
        <w:jc w:val="right"/>
      </w:pPr>
      <w:r>
        <w:rPr>
          <w:rFonts w:ascii="Arial" w:cs="Arial" w:eastAsia="Arial" w:hAnsi="Arial"/>
          <w:i/>
          <w:iCs/>
          <w:color w:val="999999"/>
          <w:sz w:val="18"/>
          <w:szCs w:val="18"/>
        </w:rPr>
        <w:t xml:space="preserve">Blockchain Explorer: Detailed Walkthrough — Page 3</w:t>
      </w:r>
    </w:p>
    <w:p>
      <w:pPr>
        <w:pStyle w:val="Heading1"/>
        <w:spacing w:before="200" w:after="120"/>
      </w:pPr>
      <w:r>
        <w:rPr>
          <w:rFonts w:ascii="Arial" w:cs="Arial" w:eastAsia="Arial" w:hAnsi="Arial"/>
          <w:b/>
          <w:bCs/>
          <w:color w:val="1B4F72"/>
          <w:sz w:val="32"/>
          <w:szCs w:val="32"/>
        </w:rPr>
        <w:t xml:space="preserve">The Holders Tab: Who Owns What</w:t>
      </w:r>
    </w:p>
    <w:p>
      <w:pPr>
        <w:spacing w:after="120"/>
      </w:pPr>
      <w:r>
        <w:rPr>
          <w:rFonts w:ascii="Arial" w:cs="Arial" w:eastAsia="Arial" w:hAnsi="Arial"/>
          <w:sz w:val="22"/>
          <w:szCs w:val="22"/>
        </w:rPr>
        <w:t xml:space="preserve">This tab shows every wallet holding this stablecoin, ranked by balance. It's like seeing a leaderboard of every bank account — something impossible in traditional finance.</w:t>
      </w:r>
    </w:p>
    <w:p>
      <w:pPr>
        <w:spacing w:after="1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Rank</w:t>
            </w:r>
          </w:p>
        </w:tc>
        <w:tc>
          <w:tcPr>
            <w:tcW w:type="dxa" w:w="3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What You Typically See</w:t>
            </w:r>
          </w:p>
        </w:tc>
        <w:tc>
          <w:tcPr>
            <w:tcW w:type="dxa" w:w="3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What It Tells You</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19"/>
                <w:szCs w:val="19"/>
              </w:rPr>
              <w:t xml:space="preserve">#1-10</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19"/>
                <w:szCs w:val="19"/>
              </w:rPr>
              <w:t xml:space="preserve">Exchanges, Treasury wallets</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19"/>
                <w:szCs w:val="19"/>
              </w:rPr>
              <w:t xml:space="preserve">Where liquidity concentrates (Coinbase, Binance, Circle)</w:t>
            </w:r>
          </w:p>
        </w:tc>
      </w:tr>
      <w:tr>
        <w:tc>
          <w:tcPr>
            <w:tcW w:type="dxa" w:w="312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19"/>
                <w:szCs w:val="19"/>
              </w:rPr>
              <w:t xml:space="preserve">#11-100</w:t>
            </w:r>
          </w:p>
        </w:tc>
        <w:tc>
          <w:tcPr>
            <w:tcW w:type="dxa" w:w="312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19"/>
                <w:szCs w:val="19"/>
              </w:rPr>
              <w:t xml:space="preserve">DeFi protocols, institutional wallets</w:t>
            </w:r>
          </w:p>
        </w:tc>
        <w:tc>
          <w:tcPr>
            <w:tcW w:type="dxa" w:w="312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19"/>
                <w:szCs w:val="19"/>
              </w:rPr>
              <w:t xml:space="preserve">Major financial applications using this stablecoin</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19"/>
                <w:szCs w:val="19"/>
              </w:rPr>
              <w:t xml:space="preserve">#100+</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19"/>
                <w:szCs w:val="19"/>
              </w:rPr>
              <w:t xml:space="preserve">Individual holders, smaller apps</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19"/>
                <w:szCs w:val="19"/>
              </w:rPr>
              <w:t xml:space="preserve">Retail adoption and distribution</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D6EAF8" w:val="clear"/>
            <w:tcMar>
              <w:top w:type="dxa" w:w="120"/>
              <w:left w:type="dxa" w:w="200"/>
              <w:bottom w:type="dxa" w:w="120"/>
              <w:right w:type="dxa" w:w="200"/>
            </w:tcMar>
          </w:tcPr>
          <w:p>
            <w:pPr>
              <w:spacing w:after="80"/>
            </w:pPr>
            <w:r>
              <w:rPr>
                <w:rFonts w:ascii="Arial" w:cs="Arial" w:eastAsia="Arial" w:hAnsi="Arial"/>
                <w:b/>
                <w:bCs/>
                <w:sz w:val="22"/>
                <w:szCs w:val="22"/>
              </w:rPr>
              <w:t xml:space="preserve">🎯 Facilitator Talking Point</w:t>
            </w:r>
          </w:p>
          <w:p>
            <w:pPr>
              <w:spacing w:after="60"/>
            </w:pPr>
            <w:r>
              <w:rPr>
                <w:rFonts w:ascii="Arial" w:cs="Arial" w:eastAsia="Arial" w:hAnsi="Arial"/>
                <w:sz w:val="21"/>
                <w:szCs w:val="21"/>
              </w:rPr>
              <w:t xml:space="preserve">The top 10 USDC holders control about 40% of supply. Ask: "Is this more or less concentrated than traditional banking?" (Hint: The top 4 US banks hold ~40% of all US deposits — similar concentration, but blockchain makes it visible.)</w:t>
            </w:r>
          </w:p>
        </w:tc>
      </w:tr>
    </w:tbl>
    <w:p>
      <w:pPr>
        <w:spacing w:after="200"/>
      </w:pPr>
    </w:p>
    <w:p>
      <w:pPr>
        <w:pStyle w:val="Heading1"/>
        <w:spacing w:before="200" w:after="120"/>
      </w:pPr>
      <w:r>
        <w:rPr>
          <w:rFonts w:ascii="Arial" w:cs="Arial" w:eastAsia="Arial" w:hAnsi="Arial"/>
          <w:b/>
          <w:bCs/>
          <w:color w:val="1B4F72"/>
          <w:sz w:val="32"/>
          <w:szCs w:val="32"/>
        </w:rPr>
        <w:t xml:space="preserve">Analytics &amp; Charts</w:t>
      </w:r>
    </w:p>
    <w:p>
      <w:pPr>
        <w:spacing w:after="120"/>
      </w:pPr>
      <w:r>
        <w:rPr>
          <w:rFonts w:ascii="Arial" w:cs="Arial" w:eastAsia="Arial" w:hAnsi="Arial"/>
          <w:sz w:val="22"/>
          <w:szCs w:val="22"/>
        </w:rPr>
        <w:t xml:space="preserve">Most explorers provide visual analytics. Here's what to look for:</w:t>
      </w:r>
    </w:p>
    <w:p>
      <w:pPr>
        <w:spacing w:after="160"/>
      </w:pPr>
    </w:p>
    <w:p>
      <w:pPr>
        <w:spacing w:before="160" w:after="60"/>
      </w:pPr>
      <w:r>
        <w:rPr>
          <w:rFonts w:ascii="Arial" w:cs="Arial" w:eastAsia="Arial" w:hAnsi="Arial"/>
          <w:b/>
          <w:bCs/>
          <w:color w:val="1B4F72"/>
          <w:sz w:val="22"/>
          <w:szCs w:val="22"/>
        </w:rPr>
        <w:t xml:space="preserve">1. </w:t>
      </w:r>
      <w:r>
        <w:rPr>
          <w:rFonts w:ascii="Arial" w:cs="Arial" w:eastAsia="Arial" w:hAnsi="Arial"/>
          <w:b/>
          <w:bCs/>
          <w:sz w:val="22"/>
          <w:szCs w:val="22"/>
        </w:rPr>
        <w:t xml:space="preserve">Transfer Volume Over Time</w:t>
      </w:r>
    </w:p>
    <w:p>
      <w:pPr>
        <w:spacing w:after="120"/>
        <w:ind w:left="360"/>
      </w:pPr>
      <w:r>
        <w:rPr>
          <w:rFonts w:ascii="Arial" w:cs="Arial" w:eastAsia="Arial" w:hAnsi="Arial"/>
          <w:color w:val="444444"/>
          <w:sz w:val="21"/>
          <w:szCs w:val="21"/>
        </w:rPr>
        <w:t xml:space="preserve">Shows daily/weekly transaction volume. Spikes often correlate with market events. Useful for understanding real usage vs. speculation.</w:t>
      </w:r>
    </w:p>
    <w:p>
      <w:pPr>
        <w:spacing w:before="160" w:after="60"/>
      </w:pPr>
      <w:r>
        <w:rPr>
          <w:rFonts w:ascii="Arial" w:cs="Arial" w:eastAsia="Arial" w:hAnsi="Arial"/>
          <w:b/>
          <w:bCs/>
          <w:color w:val="1B4F72"/>
          <w:sz w:val="22"/>
          <w:szCs w:val="22"/>
        </w:rPr>
        <w:t xml:space="preserve">2. </w:t>
      </w:r>
      <w:r>
        <w:rPr>
          <w:rFonts w:ascii="Arial" w:cs="Arial" w:eastAsia="Arial" w:hAnsi="Arial"/>
          <w:b/>
          <w:bCs/>
          <w:sz w:val="22"/>
          <w:szCs w:val="22"/>
        </w:rPr>
        <w:t xml:space="preserve">Unique Addresses</w:t>
      </w:r>
    </w:p>
    <w:p>
      <w:pPr>
        <w:spacing w:after="120"/>
        <w:ind w:left="360"/>
      </w:pPr>
      <w:r>
        <w:rPr>
          <w:rFonts w:ascii="Arial" w:cs="Arial" w:eastAsia="Arial" w:hAnsi="Arial"/>
          <w:color w:val="444444"/>
          <w:sz w:val="21"/>
          <w:szCs w:val="21"/>
        </w:rPr>
        <w:t xml:space="preserve">Growth in unique wallets over time. Indicates adoption trajectory — is this stablecoin gaining or losing users?</w:t>
      </w:r>
    </w:p>
    <w:p>
      <w:pPr>
        <w:spacing w:before="160" w:after="60"/>
      </w:pPr>
      <w:r>
        <w:rPr>
          <w:rFonts w:ascii="Arial" w:cs="Arial" w:eastAsia="Arial" w:hAnsi="Arial"/>
          <w:b/>
          <w:bCs/>
          <w:color w:val="1B4F72"/>
          <w:sz w:val="22"/>
          <w:szCs w:val="22"/>
        </w:rPr>
        <w:t xml:space="preserve">3. </w:t>
      </w:r>
      <w:r>
        <w:rPr>
          <w:rFonts w:ascii="Arial" w:cs="Arial" w:eastAsia="Arial" w:hAnsi="Arial"/>
          <w:b/>
          <w:bCs/>
          <w:sz w:val="22"/>
          <w:szCs w:val="22"/>
        </w:rPr>
        <w:t xml:space="preserve">Token Holder Distribution</w:t>
      </w:r>
    </w:p>
    <w:p>
      <w:pPr>
        <w:spacing w:after="120"/>
        <w:ind w:left="360"/>
      </w:pPr>
      <w:r>
        <w:rPr>
          <w:rFonts w:ascii="Arial" w:cs="Arial" w:eastAsia="Arial" w:hAnsi="Arial"/>
          <w:color w:val="444444"/>
          <w:sz w:val="21"/>
          <w:szCs w:val="21"/>
        </w:rPr>
        <w:t xml:space="preserve">Pie chart showing concentration. Well-distributed tokens have many small holders; concentrated ones have few large holders.</w:t>
      </w:r>
    </w:p>
    <w:p>
      <w:pPr>
        <w:spacing w:before="160" w:after="60"/>
      </w:pPr>
      <w:r>
        <w:rPr>
          <w:rFonts w:ascii="Arial" w:cs="Arial" w:eastAsia="Arial" w:hAnsi="Arial"/>
          <w:b/>
          <w:bCs/>
          <w:color w:val="1B4F72"/>
          <w:sz w:val="22"/>
          <w:szCs w:val="22"/>
        </w:rPr>
        <w:t xml:space="preserve">4. </w:t>
      </w:r>
      <w:r>
        <w:rPr>
          <w:rFonts w:ascii="Arial" w:cs="Arial" w:eastAsia="Arial" w:hAnsi="Arial"/>
          <w:b/>
          <w:bCs/>
          <w:sz w:val="22"/>
          <w:szCs w:val="22"/>
        </w:rPr>
        <w:t xml:space="preserve">Supply History</w:t>
      </w:r>
    </w:p>
    <w:p>
      <w:pPr>
        <w:spacing w:after="120"/>
        <w:ind w:left="360"/>
      </w:pPr>
      <w:r>
        <w:rPr>
          <w:rFonts w:ascii="Arial" w:cs="Arial" w:eastAsia="Arial" w:hAnsi="Arial"/>
          <w:color w:val="444444"/>
          <w:sz w:val="21"/>
          <w:szCs w:val="21"/>
        </w:rPr>
        <w:t xml:space="preserve">When tokens were minted or burned. You can see exactly when Circle added more USDC to circulation (usually following demand).</w:t>
      </w:r>
    </w:p>
    <w:p>
      <w:pPr>
        <w:spacing w:after="200"/>
      </w:pPr>
    </w:p>
    <w:p>
      <w:pPr>
        <w:pStyle w:val="Heading1"/>
        <w:spacing w:before="200" w:after="120"/>
      </w:pPr>
      <w:r>
        <w:rPr>
          <w:rFonts w:ascii="Arial" w:cs="Arial" w:eastAsia="Arial" w:hAnsi="Arial"/>
          <w:b/>
          <w:bCs/>
          <w:color w:val="1B4F72"/>
          <w:sz w:val="32"/>
          <w:szCs w:val="32"/>
        </w:rPr>
        <w:t xml:space="preserve">Comparing Networks: Ethereum vs. Solana</w:t>
      </w:r>
    </w:p>
    <w:p>
      <w:pPr>
        <w:spacing w:after="120"/>
      </w:pPr>
      <w:r>
        <w:rPr>
          <w:rFonts w:ascii="Arial" w:cs="Arial" w:eastAsia="Arial" w:hAnsi="Arial"/>
          <w:sz w:val="22"/>
          <w:szCs w:val="22"/>
        </w:rPr>
        <w:t xml:space="preserve">The same stablecoin (USDC) exists on multiple networks. Here's how the explorer experience differs:</w:t>
      </w:r>
    </w:p>
    <w:p>
      <w:pPr>
        <w:spacing w:after="1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3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Etherscan (Ethereum)</w:t>
            </w:r>
          </w:p>
        </w:tc>
        <w:tc>
          <w:tcPr>
            <w:tcW w:type="dxa" w:w="3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Solscan (Solana)</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19"/>
                <w:szCs w:val="19"/>
              </w:rPr>
              <w:t xml:space="preserve">Block Time</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19"/>
                <w:szCs w:val="19"/>
              </w:rPr>
              <w:t xml:space="preserve">~12 seconds</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19"/>
                <w:szCs w:val="19"/>
              </w:rPr>
              <w:t xml:space="preserve">~400 milliseconds</w:t>
            </w:r>
          </w:p>
        </w:tc>
      </w:tr>
      <w:tr>
        <w:tc>
          <w:tcPr>
            <w:tcW w:type="dxa" w:w="312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19"/>
                <w:szCs w:val="19"/>
              </w:rPr>
              <w:t xml:space="preserve">Transaction Fee</w:t>
            </w:r>
          </w:p>
        </w:tc>
        <w:tc>
          <w:tcPr>
            <w:tcW w:type="dxa" w:w="312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19"/>
                <w:szCs w:val="19"/>
              </w:rPr>
              <w:t xml:space="preserve">$0.50 - $5.00</w:t>
            </w:r>
          </w:p>
        </w:tc>
        <w:tc>
          <w:tcPr>
            <w:tcW w:type="dxa" w:w="312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19"/>
                <w:szCs w:val="19"/>
              </w:rPr>
              <w:t xml:space="preserve">$0.001 - $0.01</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19"/>
                <w:szCs w:val="19"/>
              </w:rPr>
              <w:t xml:space="preserve">Confirmation</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19"/>
                <w:szCs w:val="19"/>
              </w:rPr>
              <w:t xml:space="preserve">Wait for block</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19"/>
                <w:szCs w:val="19"/>
              </w:rPr>
              <w:t xml:space="preserve">Nearly instant</w:t>
            </w:r>
          </w:p>
        </w:tc>
      </w:tr>
      <w:tr>
        <w:tc>
          <w:tcPr>
            <w:tcW w:type="dxa" w:w="312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19"/>
                <w:szCs w:val="19"/>
              </w:rPr>
              <w:t xml:space="preserve">Explorer URL</w:t>
            </w:r>
          </w:p>
        </w:tc>
        <w:tc>
          <w:tcPr>
            <w:tcW w:type="dxa" w:w="312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19"/>
                <w:szCs w:val="19"/>
              </w:rPr>
              <w:t xml:space="preserve">etherscan.io</w:t>
            </w:r>
          </w:p>
        </w:tc>
        <w:tc>
          <w:tcPr>
            <w:tcW w:type="dxa" w:w="312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19"/>
                <w:szCs w:val="19"/>
              </w:rPr>
              <w:t xml:space="preserve">solscan.io</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19"/>
                <w:szCs w:val="19"/>
              </w:rPr>
              <w:t xml:space="preserve">Best For</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19"/>
                <w:szCs w:val="19"/>
              </w:rPr>
              <w:t xml:space="preserve">Large transfers, DeFi</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19"/>
                <w:szCs w:val="19"/>
              </w:rPr>
              <w:t xml:space="preserve">Small payments, high volume</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D6EAF8" w:val="clear"/>
            <w:tcMar>
              <w:top w:type="dxa" w:w="120"/>
              <w:left w:type="dxa" w:w="200"/>
              <w:bottom w:type="dxa" w:w="120"/>
              <w:right w:type="dxa" w:w="200"/>
            </w:tcMar>
          </w:tcPr>
          <w:p>
            <w:pPr>
              <w:spacing w:after="80"/>
            </w:pPr>
            <w:r>
              <w:rPr>
                <w:rFonts w:ascii="Arial" w:cs="Arial" w:eastAsia="Arial" w:hAnsi="Arial"/>
                <w:b/>
                <w:bCs/>
                <w:sz w:val="22"/>
                <w:szCs w:val="22"/>
              </w:rPr>
              <w:t xml:space="preserve">💡 Teaching Moment</w:t>
            </w:r>
          </w:p>
          <w:p>
            <w:pPr>
              <w:spacing w:after="60"/>
            </w:pPr>
            <w:r>
              <w:rPr>
                <w:rFonts w:ascii="Arial" w:cs="Arial" w:eastAsia="Arial" w:hAnsi="Arial"/>
                <w:sz w:val="21"/>
                <w:szCs w:val="21"/>
              </w:rPr>
              <w:t xml:space="preserve">Open both Etherscan and Solscan side by side. Refresh the transfers page on each. Notice how much faster Solana transactions appear? Same stablecoin, different infrastructure — like comparing highway speeds in different countries.</w:t>
            </w:r>
          </w:p>
        </w:tc>
      </w:tr>
    </w:tbl>
    <w:p>
      <w:pPr>
        <w:spacing w:after="100"/>
      </w:pPr>
    </w:p>
    <w:p>
      <w:r>
        <w:br w:type="page"/>
      </w:r>
    </w:p>
    <w:p>
      <w:pPr>
        <w:spacing w:after="200"/>
        <w:jc w:val="right"/>
      </w:pPr>
      <w:r>
        <w:rPr>
          <w:rFonts w:ascii="Arial" w:cs="Arial" w:eastAsia="Arial" w:hAnsi="Arial"/>
          <w:i/>
          <w:iCs/>
          <w:color w:val="999999"/>
          <w:sz w:val="18"/>
          <w:szCs w:val="18"/>
        </w:rPr>
        <w:t xml:space="preserve">Blockchain Explorer: Detailed Walkthrough — Page 4</w:t>
      </w:r>
    </w:p>
    <w:p>
      <w:pPr>
        <w:pStyle w:val="Heading1"/>
        <w:spacing w:before="200" w:after="120"/>
      </w:pPr>
      <w:r>
        <w:rPr>
          <w:rFonts w:ascii="Arial" w:cs="Arial" w:eastAsia="Arial" w:hAnsi="Arial"/>
          <w:b/>
          <w:bCs/>
          <w:color w:val="1B4F72"/>
          <w:sz w:val="32"/>
          <w:szCs w:val="32"/>
        </w:rPr>
        <w:t xml:space="preserve">Red Flags &amp; Health Indicators</w:t>
      </w:r>
    </w:p>
    <w:p>
      <w:pPr>
        <w:spacing w:after="120"/>
      </w:pPr>
      <w:r>
        <w:rPr>
          <w:rFonts w:ascii="Arial" w:cs="Arial" w:eastAsia="Arial" w:hAnsi="Arial"/>
          <w:sz w:val="22"/>
          <w:szCs w:val="22"/>
        </w:rPr>
        <w:t xml:space="preserve">Blockchain explorers can reveal the health of a stablecoin. Here's what professionals watch:</w:t>
      </w:r>
    </w:p>
    <w:p>
      <w:pPr>
        <w:spacing w:after="160"/>
      </w:pPr>
    </w:p>
    <w:p>
      <w:pPr>
        <w:pStyle w:val="Heading3"/>
        <w:spacing w:before="200" w:after="120"/>
      </w:pPr>
      <w:r>
        <w:rPr>
          <w:rFonts w:ascii="Arial" w:cs="Arial" w:eastAsia="Arial" w:hAnsi="Arial"/>
          <w:b/>
          <w:bCs/>
          <w:color w:val="1B4F72"/>
          <w:sz w:val="22"/>
          <w:szCs w:val="22"/>
        </w:rPr>
        <w:t xml:space="preserve">✅ Healthy Signs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Indicator</w:t>
            </w:r>
          </w:p>
        </w:tc>
        <w:tc>
          <w:tcPr>
            <w:tcW w:type="dxa" w:w="3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Healthy Range</w:t>
            </w:r>
          </w:p>
        </w:tc>
        <w:tc>
          <w:tcPr>
            <w:tcW w:type="dxa" w:w="3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What It Means</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19"/>
                <w:szCs w:val="19"/>
              </w:rPr>
              <w:t xml:space="preserve">Price</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19"/>
                <w:szCs w:val="19"/>
              </w:rPr>
              <w:t xml:space="preserve">$0.999 - $1.001</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19"/>
                <w:szCs w:val="19"/>
              </w:rPr>
              <w:t xml:space="preserve">Tight peg to $1 shows confidence</w:t>
            </w:r>
          </w:p>
        </w:tc>
      </w:tr>
      <w:tr>
        <w:tc>
          <w:tcPr>
            <w:tcW w:type="dxa" w:w="312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19"/>
                <w:szCs w:val="19"/>
              </w:rPr>
              <w:t xml:space="preserve">Daily Volume</w:t>
            </w:r>
          </w:p>
        </w:tc>
        <w:tc>
          <w:tcPr>
            <w:tcW w:type="dxa" w:w="312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19"/>
                <w:szCs w:val="19"/>
              </w:rPr>
              <w:t xml:space="preserve">Steady or growing</w:t>
            </w:r>
          </w:p>
        </w:tc>
        <w:tc>
          <w:tcPr>
            <w:tcW w:type="dxa" w:w="312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19"/>
                <w:szCs w:val="19"/>
              </w:rPr>
              <w:t xml:space="preserve">Consistent usage indicates utility</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19"/>
                <w:szCs w:val="19"/>
              </w:rPr>
              <w:t xml:space="preserve">Holder Growth</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19"/>
                <w:szCs w:val="19"/>
              </w:rPr>
              <w:t xml:space="preserve">Increasing</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19"/>
                <w:szCs w:val="19"/>
              </w:rPr>
              <w:t xml:space="preserve">More adoption over time</w:t>
            </w:r>
          </w:p>
        </w:tc>
      </w:tr>
      <w:tr>
        <w:tc>
          <w:tcPr>
            <w:tcW w:type="dxa" w:w="312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19"/>
                <w:szCs w:val="19"/>
              </w:rPr>
              <w:t xml:space="preserve">Contract Verified</w:t>
            </w:r>
          </w:p>
        </w:tc>
        <w:tc>
          <w:tcPr>
            <w:tcW w:type="dxa" w:w="312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19"/>
                <w:szCs w:val="19"/>
              </w:rPr>
              <w:t xml:space="preserve">Green checkmark</w:t>
            </w:r>
          </w:p>
        </w:tc>
        <w:tc>
          <w:tcPr>
            <w:tcW w:type="dxa" w:w="312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19"/>
                <w:szCs w:val="19"/>
              </w:rPr>
              <w:t xml:space="preserve">Code is public and auditable</w:t>
            </w:r>
          </w:p>
        </w:tc>
      </w:tr>
    </w:tbl>
    <w:p>
      <w:pPr>
        <w:spacing w:after="200"/>
      </w:pPr>
    </w:p>
    <w:p>
      <w:pPr>
        <w:pStyle w:val="Heading3"/>
        <w:spacing w:before="200" w:after="120"/>
      </w:pPr>
      <w:r>
        <w:rPr>
          <w:rFonts w:ascii="Arial" w:cs="Arial" w:eastAsia="Arial" w:hAnsi="Arial"/>
          <w:b/>
          <w:bCs/>
          <w:color w:val="1B4F72"/>
          <w:sz w:val="22"/>
          <w:szCs w:val="22"/>
        </w:rPr>
        <w:t xml:space="preserve">🚨 Warning Signs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Indicator</w:t>
            </w:r>
          </w:p>
        </w:tc>
        <w:tc>
          <w:tcPr>
            <w:tcW w:type="dxa" w:w="3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Warning Level</w:t>
            </w:r>
          </w:p>
        </w:tc>
        <w:tc>
          <w:tcPr>
            <w:tcW w:type="dxa" w:w="3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What It Could Mean</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19"/>
                <w:szCs w:val="19"/>
              </w:rPr>
              <w:t xml:space="preserve">Price</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19"/>
                <w:szCs w:val="19"/>
              </w:rPr>
              <w:t xml:space="preserve">&lt; $0.98 or &gt; $1.02</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19"/>
                <w:szCs w:val="19"/>
              </w:rPr>
              <w:t xml:space="preserve">Loss of confidence, potential de-peg event</w:t>
            </w:r>
          </w:p>
        </w:tc>
      </w:tr>
      <w:tr>
        <w:tc>
          <w:tcPr>
            <w:tcW w:type="dxa" w:w="312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19"/>
                <w:szCs w:val="19"/>
              </w:rPr>
              <w:t xml:space="preserve">Large Burns</w:t>
            </w:r>
          </w:p>
        </w:tc>
        <w:tc>
          <w:tcPr>
            <w:tcW w:type="dxa" w:w="312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19"/>
                <w:szCs w:val="19"/>
              </w:rPr>
              <w:t xml:space="preserve">Sudden massive burns</w:t>
            </w:r>
          </w:p>
        </w:tc>
        <w:tc>
          <w:tcPr>
            <w:tcW w:type="dxa" w:w="312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19"/>
                <w:szCs w:val="19"/>
              </w:rPr>
              <w:t xml:space="preserve">Major redemptions, possibly panic</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19"/>
                <w:szCs w:val="19"/>
              </w:rPr>
              <w:t xml:space="preserve">Holder Decline</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19"/>
                <w:szCs w:val="19"/>
              </w:rPr>
              <w:t xml:space="preserve">Dropping significantly</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19"/>
                <w:szCs w:val="19"/>
              </w:rPr>
              <w:t xml:space="preserve">Users leaving for competitors</w:t>
            </w:r>
          </w:p>
        </w:tc>
      </w:tr>
      <w:tr>
        <w:tc>
          <w:tcPr>
            <w:tcW w:type="dxa" w:w="312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19"/>
                <w:szCs w:val="19"/>
              </w:rPr>
              <w:t xml:space="preserve">Contract Unverified</w:t>
            </w:r>
          </w:p>
        </w:tc>
        <w:tc>
          <w:tcPr>
            <w:tcW w:type="dxa" w:w="312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19"/>
                <w:szCs w:val="19"/>
              </w:rPr>
              <w:t xml:space="preserve">No checkmark</w:t>
            </w:r>
          </w:p>
        </w:tc>
        <w:tc>
          <w:tcPr>
            <w:tcW w:type="dxa" w:w="312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19"/>
                <w:szCs w:val="19"/>
              </w:rPr>
              <w:t xml:space="preserve">Cannot audit the code — higher risk</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F8F9FA" w:val="clear"/>
            <w:tcMar>
              <w:top w:type="dxa" w:w="120"/>
              <w:left w:type="dxa" w:w="200"/>
              <w:bottom w:type="dxa" w:w="120"/>
              <w:right w:type="dxa" w:w="200"/>
            </w:tcMar>
          </w:tcPr>
          <w:p>
            <w:pPr>
              <w:spacing w:after="80"/>
            </w:pPr>
            <w:r>
              <w:rPr>
                <w:rFonts w:ascii="Arial" w:cs="Arial" w:eastAsia="Arial" w:hAnsi="Arial"/>
                <w:b/>
                <w:bCs/>
                <w:sz w:val="22"/>
                <w:szCs w:val="22"/>
              </w:rPr>
              <w:t xml:space="preserve">📚 Historical Example: USDC March 2023</w:t>
            </w:r>
          </w:p>
          <w:p>
            <w:pPr>
              <w:spacing w:after="60"/>
            </w:pPr>
            <w:r>
              <w:rPr>
                <w:rFonts w:ascii="Arial" w:cs="Arial" w:eastAsia="Arial" w:hAnsi="Arial"/>
                <w:sz w:val="21"/>
                <w:szCs w:val="21"/>
              </w:rPr>
              <w:t xml:space="preserve">When Silicon Valley Bank collapsed, USDC briefly dropped to $0.87 because Circle had $3.3B reserves there. You could watch this happen in real-time on Etherscan — massive transfers, price dropping, then recovering as the Fed backstopped deposits. Traditional bank runs happen in darkness; this one was visible to everyone.</w:t>
            </w:r>
          </w:p>
        </w:tc>
      </w:tr>
    </w:tbl>
    <w:p>
      <w:pPr>
        <w:spacing w:after="200"/>
      </w:pPr>
    </w:p>
    <w:p>
      <w:pPr>
        <w:pStyle w:val="Heading1"/>
        <w:spacing w:before="200" w:after="120"/>
      </w:pPr>
      <w:r>
        <w:rPr>
          <w:rFonts w:ascii="Arial" w:cs="Arial" w:eastAsia="Arial" w:hAnsi="Arial"/>
          <w:b/>
          <w:bCs/>
          <w:color w:val="1B4F72"/>
          <w:sz w:val="32"/>
          <w:szCs w:val="32"/>
        </w:rPr>
        <w:t xml:space="preserve">Practical Applications for Credit Unions</w:t>
      </w:r>
    </w:p>
    <w:p>
      <w:pPr>
        <w:spacing w:after="120"/>
      </w:pPr>
      <w:r>
        <w:rPr>
          <w:rFonts w:ascii="Arial" w:cs="Arial" w:eastAsia="Arial" w:hAnsi="Arial"/>
          <w:sz w:val="22"/>
          <w:szCs w:val="22"/>
        </w:rPr>
        <w:t xml:space="preserve">How might this transparency be useful for your institution?</w:t>
      </w:r>
    </w:p>
    <w:p>
      <w:pPr>
        <w:spacing w:after="160"/>
      </w:pPr>
    </w:p>
    <w:p>
      <w:pPr>
        <w:spacing w:before="160" w:after="60"/>
      </w:pPr>
      <w:r>
        <w:rPr>
          <w:rFonts w:ascii="Arial" w:cs="Arial" w:eastAsia="Arial" w:hAnsi="Arial"/>
          <w:b/>
          <w:bCs/>
          <w:color w:val="1B4F72"/>
          <w:sz w:val="22"/>
          <w:szCs w:val="22"/>
        </w:rPr>
        <w:t xml:space="preserve">1. </w:t>
      </w:r>
      <w:r>
        <w:rPr>
          <w:rFonts w:ascii="Arial" w:cs="Arial" w:eastAsia="Arial" w:hAnsi="Arial"/>
          <w:b/>
          <w:bCs/>
          <w:sz w:val="22"/>
          <w:szCs w:val="22"/>
        </w:rPr>
        <w:t xml:space="preserve">Due Diligence</w:t>
      </w:r>
    </w:p>
    <w:p>
      <w:pPr>
        <w:spacing w:after="120"/>
        <w:ind w:left="360"/>
      </w:pPr>
      <w:r>
        <w:rPr>
          <w:rFonts w:ascii="Arial" w:cs="Arial" w:eastAsia="Arial" w:hAnsi="Arial"/>
          <w:color w:val="444444"/>
          <w:sz w:val="21"/>
          <w:szCs w:val="21"/>
        </w:rPr>
        <w:t xml:space="preserve">Before partnering with any stablecoin provider, you can independently verify their transaction volume, holder distribution, and contract security — no sales pitch required.</w:t>
      </w:r>
    </w:p>
    <w:p>
      <w:pPr>
        <w:spacing w:before="160" w:after="60"/>
      </w:pPr>
      <w:r>
        <w:rPr>
          <w:rFonts w:ascii="Arial" w:cs="Arial" w:eastAsia="Arial" w:hAnsi="Arial"/>
          <w:b/>
          <w:bCs/>
          <w:color w:val="1B4F72"/>
          <w:sz w:val="22"/>
          <w:szCs w:val="22"/>
        </w:rPr>
        <w:t xml:space="preserve">2. </w:t>
      </w:r>
      <w:r>
        <w:rPr>
          <w:rFonts w:ascii="Arial" w:cs="Arial" w:eastAsia="Arial" w:hAnsi="Arial"/>
          <w:b/>
          <w:bCs/>
          <w:sz w:val="22"/>
          <w:szCs w:val="22"/>
        </w:rPr>
        <w:t xml:space="preserve">Real-Time Monitoring</w:t>
      </w:r>
    </w:p>
    <w:p>
      <w:pPr>
        <w:spacing w:after="120"/>
        <w:ind w:left="360"/>
      </w:pPr>
      <w:r>
        <w:rPr>
          <w:rFonts w:ascii="Arial" w:cs="Arial" w:eastAsia="Arial" w:hAnsi="Arial"/>
          <w:color w:val="444444"/>
          <w:sz w:val="21"/>
          <w:szCs w:val="21"/>
        </w:rPr>
        <w:t xml:space="preserve">If you hold stablecoin reserves, you can watch market health indicators in real-time rather than waiting for quarterly reports.</w:t>
      </w:r>
    </w:p>
    <w:p>
      <w:pPr>
        <w:spacing w:before="160" w:after="60"/>
      </w:pPr>
      <w:r>
        <w:rPr>
          <w:rFonts w:ascii="Arial" w:cs="Arial" w:eastAsia="Arial" w:hAnsi="Arial"/>
          <w:b/>
          <w:bCs/>
          <w:color w:val="1B4F72"/>
          <w:sz w:val="22"/>
          <w:szCs w:val="22"/>
        </w:rPr>
        <w:t xml:space="preserve">3. </w:t>
      </w:r>
      <w:r>
        <w:rPr>
          <w:rFonts w:ascii="Arial" w:cs="Arial" w:eastAsia="Arial" w:hAnsi="Arial"/>
          <w:b/>
          <w:bCs/>
          <w:sz w:val="22"/>
          <w:szCs w:val="22"/>
        </w:rPr>
        <w:t xml:space="preserve">Member Education</w:t>
      </w:r>
    </w:p>
    <w:p>
      <w:pPr>
        <w:spacing w:after="120"/>
        <w:ind w:left="360"/>
      </w:pPr>
      <w:r>
        <w:rPr>
          <w:rFonts w:ascii="Arial" w:cs="Arial" w:eastAsia="Arial" w:hAnsi="Arial"/>
          <w:color w:val="444444"/>
          <w:sz w:val="21"/>
          <w:szCs w:val="21"/>
        </w:rPr>
        <w:t xml:space="preserve">Show members exactly how their digital dollar transactions work — building trust through transparency.</w:t>
      </w:r>
    </w:p>
    <w:p>
      <w:pPr>
        <w:spacing w:before="160" w:after="60"/>
      </w:pPr>
      <w:r>
        <w:rPr>
          <w:rFonts w:ascii="Arial" w:cs="Arial" w:eastAsia="Arial" w:hAnsi="Arial"/>
          <w:b/>
          <w:bCs/>
          <w:color w:val="1B4F72"/>
          <w:sz w:val="22"/>
          <w:szCs w:val="22"/>
        </w:rPr>
        <w:t xml:space="preserve">4. </w:t>
      </w:r>
      <w:r>
        <w:rPr>
          <w:rFonts w:ascii="Arial" w:cs="Arial" w:eastAsia="Arial" w:hAnsi="Arial"/>
          <w:b/>
          <w:bCs/>
          <w:sz w:val="22"/>
          <w:szCs w:val="22"/>
        </w:rPr>
        <w:t xml:space="preserve">Competitive Intelligence</w:t>
      </w:r>
    </w:p>
    <w:p>
      <w:pPr>
        <w:spacing w:after="120"/>
        <w:ind w:left="360"/>
      </w:pPr>
      <w:r>
        <w:rPr>
          <w:rFonts w:ascii="Arial" w:cs="Arial" w:eastAsia="Arial" w:hAnsi="Arial"/>
          <w:color w:val="444444"/>
          <w:sz w:val="21"/>
          <w:szCs w:val="21"/>
        </w:rPr>
        <w:t xml:space="preserve">See how much volume competitors are processing, which protocols they're using, and where money is flowing.</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D6EAF8" w:val="clear"/>
            <w:tcMar>
              <w:top w:type="dxa" w:w="120"/>
              <w:left w:type="dxa" w:w="200"/>
              <w:bottom w:type="dxa" w:w="120"/>
              <w:right w:type="dxa" w:w="200"/>
            </w:tcMar>
          </w:tcPr>
          <w:p>
            <w:pPr>
              <w:spacing w:after="80"/>
            </w:pPr>
            <w:r>
              <w:rPr>
                <w:rFonts w:ascii="Arial" w:cs="Arial" w:eastAsia="Arial" w:hAnsi="Arial"/>
                <w:b/>
                <w:bCs/>
                <w:sz w:val="22"/>
                <w:szCs w:val="22"/>
              </w:rPr>
              <w:t xml:space="preserve">🎓 Summary: The Transparency Revolution</w:t>
            </w:r>
          </w:p>
          <w:p>
            <w:pPr>
              <w:spacing w:after="60"/>
            </w:pPr>
            <w:r>
              <w:rPr>
                <w:rFonts w:ascii="Arial" w:cs="Arial" w:eastAsia="Arial" w:hAnsi="Arial"/>
                <w:sz w:val="21"/>
                <w:szCs w:val="21"/>
              </w:rPr>
              <w:t xml:space="preserve">What you've seen today is unprecedented in financial history:</w:t>
            </w:r>
          </w:p>
          <w:p>
            <w:pPr>
              <w:spacing w:after="60"/>
            </w:pPr>
            <w:r>
              <w:rPr>
                <w:rFonts w:ascii="Arial" w:cs="Arial" w:eastAsia="Arial" w:hAnsi="Arial"/>
                <w:sz w:val="21"/>
                <w:szCs w:val="21"/>
              </w:rPr>
              <w:t xml:space="preserve">• A global ledger visible to anyone with internet access</w:t>
            </w:r>
          </w:p>
          <w:p>
            <w:pPr>
              <w:spacing w:after="60"/>
            </w:pPr>
            <w:r>
              <w:rPr>
                <w:rFonts w:ascii="Arial" w:cs="Arial" w:eastAsia="Arial" w:hAnsi="Arial"/>
                <w:sz w:val="21"/>
                <w:szCs w:val="21"/>
              </w:rPr>
              <w:t xml:space="preserve">• Real-time settlement verified in seconds</w:t>
            </w:r>
          </w:p>
          <w:p>
            <w:pPr>
              <w:spacing w:after="60"/>
            </w:pPr>
            <w:r>
              <w:rPr>
                <w:rFonts w:ascii="Arial" w:cs="Arial" w:eastAsia="Arial" w:hAnsi="Arial"/>
                <w:sz w:val="21"/>
                <w:szCs w:val="21"/>
              </w:rPr>
              <w:t xml:space="preserve">• Complete transaction history that cannot be altered</w:t>
            </w:r>
          </w:p>
          <w:p>
            <w:pPr>
              <w:spacing w:after="60"/>
            </w:pPr>
            <w:r>
              <w:rPr>
                <w:rFonts w:ascii="Arial" w:cs="Arial" w:eastAsia="Arial" w:hAnsi="Arial"/>
                <w:sz w:val="21"/>
                <w:szCs w:val="21"/>
              </w:rPr>
              <w:t xml:space="preserve">• Open-source code governing billions of dollars</w:t>
            </w:r>
          </w:p>
          <w:p>
            <w:pPr>
              <w:spacing w:after="60"/>
            </w:pPr>
            <w:r>
              <w:rPr>
                <w:rFonts w:ascii="Arial" w:cs="Arial" w:eastAsia="Arial" w:hAnsi="Arial"/>
                <w:sz w:val="21"/>
                <w:szCs w:val="21"/>
              </w:rPr>
              <w:t xml:space="preserve"/>
            </w:r>
          </w:p>
          <w:p>
            <w:pPr>
              <w:spacing w:after="60"/>
            </w:pPr>
            <w:r>
              <w:rPr>
                <w:rFonts w:ascii="Arial" w:cs="Arial" w:eastAsia="Arial" w:hAnsi="Arial"/>
                <w:sz w:val="21"/>
                <w:szCs w:val="21"/>
              </w:rPr>
              <w:t xml:space="preserve">This isn't the future — it's happening now, processing over $10 trillion annually. The question for credit unions isn't whether to engage, but how.</w:t>
            </w:r>
          </w:p>
        </w:tc>
      </w:tr>
    </w:tbl>
    <w:p>
      <w:pPr>
        <w:spacing w:after="200"/>
      </w:pPr>
    </w:p>
    <w:p>
      <w:pPr>
        <w:shd w:fill="F8F9FA" w:val="clear"/>
        <w:spacing w:before="100"/>
        <w:jc w:val="center"/>
      </w:pPr>
      <w:r>
        <w:rPr>
          <w:rFonts w:ascii="Arial" w:cs="Arial" w:eastAsia="Arial" w:hAnsi="Arial"/>
          <w:b/>
          <w:bCs/>
          <w:sz w:val="20"/>
          <w:szCs w:val="20"/>
        </w:rPr>
        <w:t xml:space="preserve">  Quick Reference Links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Resource</w:t>
            </w:r>
          </w:p>
        </w:tc>
        <w:tc>
          <w:tcPr>
            <w:tcW w:type="dxa" w:w="46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URL</w:t>
            </w:r>
          </w:p>
        </w:tc>
      </w:tr>
      <w:tr>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19"/>
                <w:szCs w:val="19"/>
              </w:rPr>
              <w:t xml:space="preserve">USDC on Ethereum</w:t>
            </w:r>
          </w:p>
        </w:tc>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19"/>
                <w:szCs w:val="19"/>
              </w:rPr>
              <w:t xml:space="preserve">etherscan.io/token/0xa0b86991c6218b36c1d19d4a2e9eb0ce3606eb48</w:t>
            </w:r>
          </w:p>
        </w:tc>
      </w:tr>
      <w:tr>
        <w:tc>
          <w:tcPr>
            <w:tcW w:type="dxa" w:w="468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19"/>
                <w:szCs w:val="19"/>
              </w:rPr>
              <w:t xml:space="preserve">USDC on Solana</w:t>
            </w:r>
          </w:p>
        </w:tc>
        <w:tc>
          <w:tcPr>
            <w:tcW w:type="dxa" w:w="468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19"/>
                <w:szCs w:val="19"/>
              </w:rPr>
              <w:t xml:space="preserve">solscan.io/token/EPjFWdd5AufqSSqeM2qN1xzybapC8G4wEGGkZwyTDt1v</w:t>
            </w:r>
          </w:p>
        </w:tc>
      </w:tr>
      <w:tr>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19"/>
                <w:szCs w:val="19"/>
              </w:rPr>
              <w:t xml:space="preserve">PYUSD (PayPal)</w:t>
            </w:r>
          </w:p>
        </w:tc>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19"/>
                <w:szCs w:val="19"/>
              </w:rPr>
              <w:t xml:space="preserve">etherscan.io/token/0x6c3ea9036406852006290770bedfcaba0e23a0e8</w:t>
            </w:r>
          </w:p>
        </w:tc>
      </w:tr>
      <w:tr>
        <w:tc>
          <w:tcPr>
            <w:tcW w:type="dxa" w:w="468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19"/>
                <w:szCs w:val="19"/>
              </w:rPr>
              <w:t xml:space="preserve">Circle Transparency</w:t>
            </w:r>
          </w:p>
        </w:tc>
        <w:tc>
          <w:tcPr>
            <w:tcW w:type="dxa" w:w="468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19"/>
                <w:szCs w:val="19"/>
              </w:rPr>
              <w:t xml:space="preserve">circle.com/en/transparency</w:t>
            </w:r>
          </w:p>
        </w:tc>
      </w:tr>
    </w:tbl>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2026-01-25T18:58:35.215Z</dcterms:created>
  <dcterms:modified xsi:type="dcterms:W3CDTF">2026-01-25T18:58:35.216Z</dcterms:modified>
</cp:coreProperties>
</file>

<file path=docProps/custom.xml><?xml version="1.0" encoding="utf-8"?>
<Properties xmlns="http://schemas.openxmlformats.org/officeDocument/2006/custom-properties" xmlns:vt="http://schemas.openxmlformats.org/officeDocument/2006/docPropsVTypes"/>
</file>