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SKYLA CREDIT UNION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Stablecoin Innovation Workshop</w:t>
      </w:r>
    </w:p>
    <w:p>
      <w:pPr>
        <w:shd w:fill="1D8348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Module 3: Banking Parallels  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Mapping Stablecoins to Concepts You Already Know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D8348"/>
          <w:sz w:val="30"/>
          <w:szCs w:val="30"/>
        </w:rPr>
        <w:t xml:space="preserve">Head-to-Head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🏦 Traditional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💵 Stablecoin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Transfer Speed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business days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 to minutes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Stablecoin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Transfer Cost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$25-50 (wire)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$0.001 - $2.00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Stablecoin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 Hours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hours only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24/7/365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Stablecoin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FDIC Insurance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$250K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Traditional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Dispute Resolution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Chargebacks available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irreversible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Traditional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Transparency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statements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public ledger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Stablecoin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Global Access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Correspondent banking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 connection only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Stablecoin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The Pattern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Stablecoins win on: Speed, cost, availability, transparency, global reach.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Traditional banking wins on: Consumer protection, insurance, dispute resolution.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question isn't which is "better" — it's which is better for what purpose.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D8348"/>
          <w:sz w:val="30"/>
          <w:szCs w:val="30"/>
        </w:rPr>
        <w:t xml:space="preserve">The Fee Sandwich: Where Money Goes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send money internationally, fees get taken at every step: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Wire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Stablecoin Transfer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bank's fee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$25-35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 (if already in wallet)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Intermediary bank(s)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$15-25 (often hidden)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Receiving bank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$10-20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Network/processing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Included above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$0.001 - $2.00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 conversion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2-4% spread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 (already in USD)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TYPICAL COST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$50-100+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$0.001 - $2.00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Module 3: Banking Parallels — Page 2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D8348"/>
          <w:sz w:val="30"/>
          <w:szCs w:val="30"/>
        </w:rPr>
        <w:t xml:space="preserve">The Yield Question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Who earns what on your idle dollars?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Money Sits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Earns Interest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Checking Account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bank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bank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0.01% APY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High-Yield Savings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bank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bank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4-5% APY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USDC (no yield)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Circle's reserves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Circle (~$2.5B/year)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USDC (Base wallet)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Circle's reserves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Circle shares with you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4.1% APY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PYUSD (PayPal)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Paxos reserves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Paxos shares with you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4.0% APY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The Shift Happening Now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Circle used to keep ALL the yield (~5% on $50B = $2.5B/year).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Now competition is forcing yield-sharing: Base (4.1%), PayPal (4%), and more coming.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validates the workshop thesis: Competition benefits consumers.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D8348"/>
          <w:sz w:val="30"/>
          <w:szCs w:val="30"/>
        </w:rPr>
        <w:t xml:space="preserve">Risk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Type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Bank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D8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Stablecoin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failure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FDIC insures up to $250K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insurance (see SVB/USDC 2023)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Hacking/theft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reimburses fraud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loss if keys compromised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Operator error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often reverse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Irreversible — send to wrong address = gone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Regulatory risk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Well-established framework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Evolving; some uncertainty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Depegging risk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Rare but possible (USDC briefly hit $0.87 in 2023)</w:t>
            </w:r>
          </w:p>
        </w:tc>
      </w:tr>
    </w:tbl>
    <w:p>
      <w:pP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D8348"/>
          <w:sz w:val="30"/>
          <w:szCs w:val="30"/>
        </w:rPr>
        <w:t xml:space="preserve">Key Takeaways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8348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Stablecoins excel at speed, cost, and availability — traditional banking excels at protection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8348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The "fee sandwich" in traditional banking creates opportunity for disruption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8348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Yield competition is just beginning — expect more consumer-friendly options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D8348"/>
          <w:sz w:val="22"/>
          <w:szCs w:val="22"/>
        </w:rPr>
        <w:t xml:space="preserve">→ </w:t>
      </w:r>
      <w:r>
        <w:rPr>
          <w:rFonts w:ascii="Arial" w:cs="Arial" w:eastAsia="Arial" w:hAnsi="Arial"/>
          <w:sz w:val="21"/>
          <w:szCs w:val="21"/>
        </w:rPr>
        <w:t xml:space="preserve">Different risks require different strategies — not either/or, but both/and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💭 Discussion Questions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Which member use cases are best served by stablecoins vs traditional rails?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How might a credit union position itself as a bridge between both worlds?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What would it take for you to feel comfortable holding 5% of reserves in stablecoins?</w:t>
            </w:r>
          </w:p>
        </w:tc>
      </w:tr>
    </w:tbl>
    <w:p>
      <w:pPr>
        <w:spacing w:after="160"/>
      </w:pPr>
    </w:p>
    <w:p>
      <w:pPr>
        <w:shd w:fill="F8F9FA" w:val="clear"/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Not either/or — the future is both/and 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2026-01-25T19:32:53.176Z</dcterms:created>
  <dcterms:modified xsi:type="dcterms:W3CDTF">2026-01-25T19:32:53.177Z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