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E-commerce Return Rate Reduction Analysis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Identifying why customers return products, and how return rates vary by category, geography, and channel</w:t>
      </w:r>
    </w:p>
    <w:p>
      <w:pPr>
        <w:pStyle w:val="Heading1"/>
        <w:spacing w:after="150" w:before="300"/>
      </w:pPr>
      <w:r>
        <w:t xml:space="preserve">1. Objective &amp; Scope</w:t>
      </w:r>
    </w:p>
    <w:p>
      <w:pPr>
        <w:spacing w:after="120"/>
      </w:pPr>
      <w:r>
        <w:t xml:space="preserve">Objective: identify why customers return products and how return rates vary by category, geography, and marketing channel; build a predictive risk score for individual orders/products; deliver a Power BI-ready dashboard, a Python codebase, and a CSV of high-risk products.</w:t>
      </w:r>
    </w:p>
    <w:p>
      <w:pPr>
        <w:spacing w:after="120"/>
      </w:pPr>
      <w:r>
        <w:t xml:space="preserve">Data note: the supplied dataset (ecommerce_returns_synthetic_data.csv, 10,000 orders) does not include a Supplier or Marketing Channel field. To keep the analysis honest and avoid inventing data, this project uses the closest available proxies: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Geography → User_Location (100 distinct city codes)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Marketing Channel → Payment_Method and Shipping_Method (the only channel-like dimensions present)</w:t>
      </w:r>
    </w:p>
    <w:p>
      <w:pPr>
        <w:spacing w:after="120"/>
      </w:pPr>
      <w:r>
        <w:t xml:space="preserve">If a real Supplier or Marketing_Channel column becomes available, the same pipeline (Sections 3–5) will pick it up with a one-line change to the feature list.</w:t>
      </w:r>
    </w:p>
    <w:p>
      <w:pPr>
        <w:pStyle w:val="Heading1"/>
        <w:spacing w:after="150" w:before="300"/>
      </w:pPr>
      <w:r>
        <w:t xml:space="preserve">2. Data Cleaning</w:t>
      </w:r>
    </w:p>
    <w:p>
      <w:pPr>
        <w:spacing w:after="120"/>
      </w:pPr>
      <w:r>
        <w:t xml:space="preserve">Script: 01_data_cleaning.py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10,000 orders loaded; 0 duplicate Order_IDs.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Return_Status splits 50.5% Returned / 49.5% Not Returned — Return_Reason, Return_Date and Days_to_Return are legitimately blank for non-returned orders (not a data error).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quality issue found and documented: Days_to_Return = Return_Date − Order_Date, but the two dates were generated independently of each other. As a result 2,513 of the 5,052 returned orders (≈49.7%) show a NEGATIVE gap — i.e. an apparent return before the order was even placed. This is a synthetic-data artifact. Rather than silently dropping or faking these rows, each is flagged in a new Data_Quality_Flag column ('Invalid_Return_Timing') so downstream users can filter them out of any date-based analysis while keeping the row for category/geography/channel analysis.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analysis-ready fields: Order_Value, Discount_Pct_Of_Price, Age_Group, Price_Band, Order_Month, Days_to_Return_Abs.</w:t>
      </w:r>
    </w:p>
    <w:p>
      <w:pPr>
        <w:spacing w:after="120"/>
      </w:pPr>
      <w:r>
        <w:t xml:space="preserve">Output: cleaned_ecommerce_returns.csv (10,000 rows × 26 columns).</w:t>
      </w:r>
    </w:p>
    <w:p>
      <w:pPr>
        <w:pStyle w:val="Heading1"/>
        <w:spacing w:after="150" w:before="300"/>
      </w:pPr>
      <w:r>
        <w:t xml:space="preserve">3. Exploratory Analysis — Return % by Category, Geography &amp; Channel</w:t>
      </w:r>
    </w:p>
    <w:p>
      <w:pPr>
        <w:spacing w:after="120"/>
      </w:pPr>
      <w:r>
        <w:t xml:space="preserve">Script: 02_eda_analysis.py. Overall return rate: 50.5%.</w:t>
      </w:r>
    </w:p>
    <w:p>
      <w:pPr>
        <w:pStyle w:val="Heading2"/>
        <w:spacing w:after="120" w:before="240"/>
      </w:pPr>
      <w:r>
        <w:t xml:space="preserve">3.1 By Product Category</w:t>
      </w:r>
    </w:p>
    <w:p>
      <w:pPr>
        <w:spacing w:after="60"/>
        <w:jc w:val="center"/>
      </w:pPr>
      <w:r>
        <w:drawing>
          <wp:inline distT="0" distB="0" distL="0" distR="0">
            <wp:extent cx="4762500" cy="264583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4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Return rate by category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200"/>
      </w:tblGrid>
      <w:tr>
        <w:tc>
          <w:tcPr>
            <w:tcW w:type="dxa" w:w="30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0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 Rate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Clothing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1,049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52.45%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1,985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1,011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50.93%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2,041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1,034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50.66%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Toys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1,944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49.54%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2,030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49.01%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Clothing has the highest return rate (52.5%) and Home the lowest (49.0%) — a spread of only ~3.4 points.</w:t>
      </w:r>
    </w:p>
    <w:p>
      <w:pPr>
        <w:pStyle w:val="Heading2"/>
        <w:spacing w:after="120" w:before="240"/>
      </w:pPr>
      <w:r>
        <w:t xml:space="preserve">3.2 By Geography (User_Location)</w:t>
      </w:r>
    </w:p>
    <w:p>
      <w:pPr>
        <w:spacing w:after="60"/>
        <w:jc w:val="center"/>
      </w:pPr>
      <w:r>
        <w:drawing>
          <wp:inline distT="0" distB="0" distL="0" distR="0">
            <wp:extent cx="4762500" cy="264583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4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— Highest return-rate locations (top 15 of 100, min. 30 orders)</w:t>
      </w:r>
    </w:p>
    <w:p>
      <w:pPr>
        <w:spacing w:after="120"/>
      </w:pPr>
      <w:r>
        <w:t xml:space="preserve">The five riskiest locations (City68, City71, City87, City10, City19) sit 8–12 points above the 50.5% average, each on 90–102 orders. At that sample size the gap is within normal random variation — worth monitoring over more orders, not yet actionable on its own.</w:t>
      </w:r>
    </w:p>
    <w:p>
      <w:pPr>
        <w:spacing w:after="60"/>
        <w:jc w:val="center"/>
      </w:pPr>
      <w:r>
        <w:drawing>
          <wp:inline distT="0" distB="0" distL="0" distR="0">
            <wp:extent cx="4762500" cy="370416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0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— Return rate heat map: category × top 15 locations</w:t>
      </w:r>
    </w:p>
    <w:p>
      <w:pPr>
        <w:pStyle w:val="Heading2"/>
        <w:spacing w:after="120" w:before="240"/>
      </w:pPr>
      <w:r>
        <w:t xml:space="preserve">3.3 By Channel Proxy (Payment Method &amp; Shipping Method)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500"/>
      </w:tblGrid>
      <w:tr>
        <w:tc>
          <w:tcPr>
            <w:tcW w:type="dxa" w:w="32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5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5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 Rate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Gift Card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2,537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51.60%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Debit Card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51.12%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2,473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50.51%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PayPal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2,480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48.83%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500"/>
      </w:tblGrid>
      <w:tr>
        <w:tc>
          <w:tcPr>
            <w:tcW w:type="dxa" w:w="32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Shipping Method</w:t>
            </w:r>
          </w:p>
        </w:tc>
        <w:tc>
          <w:tcPr>
            <w:tcW w:type="dxa" w:w="25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5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 Rate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Next-Day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3,394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51.09%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3,300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50.52%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3,306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49.94%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Neither payment nor shipping method shows a meaningful split (all within ~2.8 points of the average).</w:t>
      </w:r>
    </w:p>
    <w:p>
      <w:pPr>
        <w:pStyle w:val="Heading2"/>
        <w:spacing w:after="120" w:before="240"/>
      </w:pPr>
      <w:r>
        <w:t xml:space="preserve">3.4 Return Reasons</w:t>
      </w:r>
    </w:p>
    <w:p>
      <w:pPr>
        <w:spacing w:after="60"/>
        <w:jc w:val="center"/>
      </w:pPr>
      <w:r>
        <w:drawing>
          <wp:inline distT="0" distB="0" distL="0" distR="0">
            <wp:extent cx="4762500" cy="34017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— Return reason distribution</w:t>
      </w:r>
    </w:p>
    <w:p>
      <w:pPr>
        <w:spacing w:after="120"/>
      </w:pPr>
      <w:r>
        <w:t xml:space="preserve">Reasons are almost evenly split: Defective 26.3%, Wrong item 24.9%, Changed mind 24.8%, Not as described 24.0% — no single root cause dominates in this dataset.</w:t>
      </w:r>
    </w:p>
    <w:p>
      <w:pPr>
        <w:pStyle w:val="Heading2"/>
        <w:spacing w:after="120" w:before="240"/>
      </w:pPr>
      <w:r>
        <w:t xml:space="preserve">3.5 Honest read on the EDA</w:t>
      </w:r>
    </w:p>
    <w:p>
      <w:pPr>
        <w:spacing w:after="120"/>
      </w:pPr>
      <w:r>
        <w:t xml:space="preserve">Every slice above sits within a few points of the 50.5% baseline. This dataset appears to assign the return outcome close to independently of category, location, price, discount, age and channel — i.e. it behaves like a synthetic/stress-test dataset rather than one with a strong, discoverable root cause. That is a legitimate and useful finding in itself: it tells the business that, in this data, no single lever (e.g. 'stop selling on PayPal' or 'fix City68') will meaningfully move the needle, and that a multivariate model (Section 4) is needed to find any weak combined signal.</w:t>
      </w:r>
    </w:p>
    <w:p>
      <w:pPr>
        <w:pStyle w:val="Heading1"/>
        <w:spacing w:after="150" w:before="300"/>
      </w:pPr>
      <w:r>
        <w:t xml:space="preserve">4. Predictive Modeling — Logistic Regression</w:t>
      </w:r>
    </w:p>
    <w:p>
      <w:pPr>
        <w:spacing w:after="120"/>
      </w:pPr>
      <w:r>
        <w:t xml:space="preserve">Script: 03_logistic_regression_model.py. Target: Is_Returned (1/0). Only order-time features are used — Return_Reason, Return_Date and Days_to_Return are excluded because they only exist after a return happens (target leakage).</w:t>
      </w:r>
    </w:p>
    <w:p>
      <w:pPr>
        <w:pStyle w:val="Heading2"/>
        <w:spacing w:after="120" w:before="240"/>
      </w:pPr>
      <w:r>
        <w:t xml:space="preserve">4.1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Numeric: Product_Price, Order_Quantity, User_Age, Discount_Applied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Categorical (one-hot): Product_Category, User_Gender, Payment_Method, Shipping_Method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Geography: User_Location (100 levels) encoded via smoothed target-mean (fit on training data only, smoothing=20) to avoid one-hot sparsity and leakage</w:t>
      </w:r>
    </w:p>
    <w:p>
      <w:pPr>
        <w:pStyle w:val="Heading2"/>
        <w:spacing w:after="120" w:before="240"/>
      </w:pPr>
      <w:r>
        <w:t xml:space="preserve">4.2 Train/test split &amp; evaluation</w:t>
      </w:r>
    </w:p>
    <w:p>
      <w:pPr>
        <w:spacing w:after="120"/>
      </w:pPr>
      <w:r>
        <w:t xml:space="preserve">75/25 stratified split (7,500 train / 2,500 test).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</w:tblGrid>
      <w:tr>
        <w:tc>
          <w:tcPr>
            <w:tcW w:type="dxa" w:w="40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0.494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0.499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0.531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F1-score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0.514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ROC-AUC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0.488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(majority class)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4762500" cy="432954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2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 — ROC curve (AUC = 0.488, essentially random)</w:t>
      </w:r>
    </w:p>
    <w:p>
      <w:pPr>
        <w:spacing w:after="60"/>
        <w:jc w:val="center"/>
      </w:pPr>
      <w:r>
        <w:drawing>
          <wp:inline distT="0" distB="0" distL="0" distR="0">
            <wp:extent cx="47625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 — Confusion matrix on the test set</w:t>
      </w:r>
    </w:p>
    <w:p>
      <w:pPr>
        <w:spacing w:after="120"/>
      </w:pPr>
      <w:r>
        <w:t xml:space="preserve">Model performance is at chance level (AUC ≈ 0.49). This is consistent with the EDA in Section 3.5 — the features on hand do not meaningfully predict returns in this particular dataset. This is reported transparently rather than dressed up: an AUC near 0.50 is itself a real, useful finding ("these attributes don't explain returns here"), not a modeling failure. The pipeline, target-mean geography encoding, and evaluation approach are production-ready and will show real lift automatically if pointed at a dataset where returns are actually driven by these fields (e.g. true supplier defect rates, true fit/sizing issues by category).</w:t>
      </w:r>
    </w:p>
    <w:p>
      <w:pPr>
        <w:pStyle w:val="Heading2"/>
        <w:spacing w:after="120" w:before="240"/>
      </w:pPr>
      <w:r>
        <w:t xml:space="preserve">4.3 Feature Importance</w:t>
      </w:r>
    </w:p>
    <w:p>
      <w:pPr>
        <w:spacing w:after="6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 — Top standardized logistic regression coefficients</w:t>
      </w:r>
    </w:p>
    <w:p>
      <w:pPr>
        <w:spacing w:after="120"/>
      </w:pPr>
      <w:r>
        <w:t xml:space="preserve">The strongest (still weak) signals: Location_Risk_Encoded, Payment_Method=PayPal (negative), Product_Category=Clothing (positive), and Shipping_Method=Next-Day (positive) — directionally consistent with the EDA in Section 3.</w:t>
      </w:r>
    </w:p>
    <w:p>
      <w:pPr>
        <w:pStyle w:val="Heading1"/>
        <w:spacing w:after="150" w:before="300"/>
      </w:pPr>
      <w:r>
        <w:t xml:space="preserve">5. Risk Scoring &amp; Deliverables</w:t>
      </w:r>
    </w:p>
    <w:p>
      <w:pPr>
        <w:pStyle w:val="Heading2"/>
        <w:spacing w:after="120" w:before="240"/>
      </w:pPr>
      <w:r>
        <w:t xml:space="preserve">5.1 Power BI-ready dataset</w:t>
      </w:r>
    </w:p>
    <w:p>
      <w:pPr>
        <w:spacing w:after="120"/>
      </w:pPr>
      <w:r>
        <w:t xml:space="preserve">powerbi_dataset.csv — the full cleaned dataset (10,000 rows) plus two model outputs for every order: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Risk_Score — the model's predicted probability of return (0–1)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Risk_Tier — Low (&lt;0.40) / Medium (0.40–0.60) / High (&gt;0.60)</w:t>
      </w:r>
    </w:p>
    <w:p>
      <w:pPr>
        <w:spacing w:after="120"/>
      </w:pPr>
      <w:r>
        <w:t xml:space="preserve">This is the single file to import into Power BI Desktop (Get Data → Text/CSV) to build the official dashboard — see Section 6.</w:t>
      </w:r>
    </w:p>
    <w:p>
      <w:pPr>
        <w:pStyle w:val="Heading2"/>
        <w:spacing w:after="120" w:before="240"/>
      </w:pPr>
      <w:r>
        <w:t xml:space="preserve">5.2 High-risk products CSV</w:t>
      </w:r>
    </w:p>
    <w:p>
      <w:pPr>
        <w:spacing w:after="120"/>
      </w:pPr>
      <w:r>
        <w:t xml:space="preserve">high_risk_products.csv — a product-level rollup (Product_ID × Product_Category) with Orders, Actual_Return_Rate, Avg_Risk_Score, Avg_Price, Avg_Discount and a Risk_Rank. It contains the top quartile of products by average predicted risk score (2,506 of 10,015 distinct products), sorted worst-first — this is the list an ops/merchandising team would triage first.</w:t>
      </w:r>
    </w:p>
    <w:p>
      <w:pPr>
        <w:pStyle w:val="Heading2"/>
        <w:spacing w:after="120" w:before="240"/>
      </w:pPr>
      <w:r>
        <w:t xml:space="preserve">5.3 Interactive dashboard (working preview)</w:t>
      </w:r>
    </w:p>
    <w:p>
      <w:pPr>
        <w:spacing w:after="120"/>
      </w:pPr>
      <w:r>
        <w:t xml:space="preserve">return_risk_dashboard.html — a self-contained, interactive HTML preview of the dashboard with live cross-filters (Category, Location, Payment Method, Shipping Method, Price Band, Risk Tier), KPI cards, and six charts (return rate by category/location/payment/shipping, reason breakdown, risk-tier distribution). Open it directly in any browser — no server or install needed. This is a functional stand-in for the official Power BI file, which requires the licensed Power BI Desktop application to author (Section 6 walks through building that from powerbi_dataset.csv).</w:t>
      </w:r>
    </w:p>
    <w:p>
      <w:pPr>
        <w:pStyle w:val="Heading1"/>
        <w:spacing w:after="150" w:before="300"/>
      </w:pPr>
      <w:r>
        <w:t xml:space="preserve">6. Building the Official Power BI Dashboard</w:t>
      </w:r>
    </w:p>
    <w:p>
      <w:pPr>
        <w:spacing w:after="120"/>
      </w:pPr>
      <w:r>
        <w:t xml:space="preserve">Power BI Desktop is a Windows application and cannot be run in this environment, so the dashboard could not be authored directly as a .pbix file. Follow these steps in Power BI Desktop using powerbi_dataset.csv to reproduce it — expect 20–30 minutes: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Get Data → Text/CSV → select powerbi_dataset.csv → 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Data types: set Order_Date/Return_Date as Date, Risk_Score as Decimal, Is_Returned/Risk_Tier as Text or Whole Number as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Create measures (New Measure, in DAX):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  Return Rate = DIVIDE(SUM(Is_Returned), COUNTROWS(powerbi_dataset))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  Avg Risk Score = AVERAGE(powerbi_dataset[Risk_Score])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  High Risk Orders = CALCULATE(COUNTROWS(powerbi_dataset), powerbi_dataset[Risk_Tier]="High")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Page 1 — Overview: KPI cards for Return Rate, Avg Risk Score, High Risk Orders; a bar chart of Return Rate by Product_Category; a map or bar chart of Return Rate by User_Location.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Page 2 — Risk Drilldown: a table/matrix visual of Product_ID, Product_Category, Risk_Tier, Risk_Score with conditional formatting (red/amber/green) on Risk_Score; enable drill-through from Page 1 by right-clicking the Product_Category or User_Location field well → Add drill-through.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Page 3 — Reasons: a donut chart of Return_Reason (filter Return_Status = 'Returned'); a bar chart of Return_Reason by Product_Category.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Add slicers for Product_Category, User_Location, Payment_Method, Shipping_Method, Risk_Tier at the top of each page and sync them (View → Sync slicers) so filters apply across all three pages — this delivers the 'interactive dashboard with drill-through filters' deliverable.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Publish to the Power BI Service (Publish button) if a shareable link is needed.</w:t>
      </w:r>
    </w:p>
    <w:p>
      <w:pPr>
        <w:pStyle w:val="Heading1"/>
        <w:spacing w:after="150" w:before="300"/>
      </w:pPr>
      <w:r>
        <w:t xml:space="preserve">7.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Because no single dimension in this dataset (category, location, payment, shipping) meaningfully separates high- from low-return orders, avoid broad blanket policies (e.g. restricting a payment method) — they are unlikely to move the overall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Prioritize the high_risk_products.csv list for manual/qualitative review (e.g. checking real supplier quality data, real customer reviews) rather than relying on the model score alone, given its weak AUC on this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the return-date generation issue at the source system level before re-running any time-to-return analysis (Section 2) — 49.7% of 'return processing time' values are currently unusable as-is.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Re-run 03_logistic_regression_model.py unchanged once real Supplier and Marketing_Channel fields are available — the pipeline is built to extend to them directly.</w:t>
      </w:r>
    </w:p>
    <w:p>
      <w:pPr>
        <w:pStyle w:val="Heading1"/>
        <w:spacing w:after="150" w:before="300"/>
      </w:pPr>
      <w:r>
        <w:t xml:space="preserve">8. File Index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00"/>
            <w:shd w:fill="2F4A6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01_data_cleaning.py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Cleans raw data, flags the date/time quality issue, engineers analysis fields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02_eda_analysis.py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% by category/geography/channel/reason, generates all charts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03_logistic_regression_model.py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Trains model, scores every order, exports high-risk product list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cleaned_ecommerce_returns.csv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 base dataset (10,000 rows × 26 cols)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powerbi_dataset.csv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 dataset + Risk_Score + Risk_Tier — import this into Power BI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high_risk_products.csv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Top-quartile-risk products, ranked — the requested deliverable CSV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feature_importance.csv / model_metrics.txt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model coefficients and evaluation metrics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return_risk_dashboard.html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working preview of the dashboard (open in any browser)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84de9671d1ab6936218bab16b89dbc15a4d166.png"/><Relationship Id="rId8" Type="http://schemas.openxmlformats.org/officeDocument/2006/relationships/image" Target="media/093f791ef4a335fb452299823762d2b2ee7df278.png"/><Relationship Id="rId9" Type="http://schemas.openxmlformats.org/officeDocument/2006/relationships/image" Target="media/5cfd733d984a252af64533fdb0cb0e98ad5e8c67.png"/><Relationship Id="rId10" Type="http://schemas.openxmlformats.org/officeDocument/2006/relationships/image" Target="media/10d461b3308c270ecb460f98bb1f01b653248ebc.png"/><Relationship Id="rId11" Type="http://schemas.openxmlformats.org/officeDocument/2006/relationships/image" Target="media/71241ea1f81b1e22460f954333871b19cc4dc584.png"/><Relationship Id="rId12" Type="http://schemas.openxmlformats.org/officeDocument/2006/relationships/image" Target="media/6fd4a5da6131586c6c0dad91428e80a580fa3c4e.png"/><Relationship Id="rId13" Type="http://schemas.openxmlformats.org/officeDocument/2006/relationships/image" Target="media/8824a389f4a7b21a977af8cc59d5f1af434ad47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2026-09-12T21:18:46.078Z</dcterms:created>
  <dcterms:modified xsi:type="dcterms:W3CDTF">2026-09-12T21:18:46.090Z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