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jc w:val="center"/>
      </w:pPr>
      <w:r>
        <w:rPr>
          <w:rFonts w:ascii="Arial" w:cs="Arial" w:eastAsia="Arial" w:hAnsi="Arial"/>
          <w:b/>
          <w:bCs/>
          <w:color w:val="FFFFFF"/>
          <w:sz w:val="52"/>
          <w:szCs w:val="52"/>
        </w:rPr>
        <w:t xml:space="preserve">Strategies to Respond to Difficulties</w:t>
      </w:r>
    </w:p>
    <w:p>
      <w:pPr>
        <w:shd w:fill="1F3864" w:val="clear"/>
        <w:spacing w:before="0" w:after="200"/>
        <w:jc w:val="center"/>
      </w:pPr>
      <w:r>
        <w:rPr>
          <w:rFonts w:ascii="Arial" w:cs="Arial" w:eastAsia="Arial" w:hAnsi="Arial"/>
          <w:b/>
          <w:bCs/>
          <w:color w:val="D5E8F0"/>
          <w:sz w:val="32"/>
          <w:szCs w:val="32"/>
        </w:rPr>
        <w:t xml:space="preserve">When Developing a Software Engineering Solution</w:t>
      </w:r>
    </w:p>
    <w:p>
      <w:pPr>
        <w:spacing w:before="120" w:after="300"/>
        <w:jc w:val="center"/>
      </w:pPr>
      <w:r>
        <w:rPr>
          <w:rFonts w:ascii="Arial" w:cs="Arial" w:eastAsia="Arial" w:hAnsi="Arial"/>
          <w:color w:val="666666"/>
          <w:sz w:val="20"/>
          <w:szCs w:val="20"/>
        </w:rPr>
        <w:t xml:space="preserve">NSW HSC Software Engineering  |  Year 12  |  Band 6 Teaching Resource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D5E8F0" w:val="clear"/>
            <w:tcMar>
              <w:top w:type="dxa" w:w="100"/>
              <w:left w:type="dxa" w:w="180"/>
              <w:bottom w:type="dxa" w:w="100"/>
              <w:right w:type="dxa" w:w="180"/>
            </w:tcMar>
          </w:tcPr>
          <w:p>
            <w:pPr>
              <w:spacing w:before="40" w:after="20"/>
            </w:pPr>
            <w:r>
              <w:rPr>
                <w:rFonts w:ascii="Arial" w:cs="Arial" w:eastAsia="Arial" w:hAnsi="Arial"/>
                <w:b/>
                <w:bCs/>
                <w:color w:val="1F3864"/>
                <w:sz w:val="20"/>
                <w:szCs w:val="20"/>
              </w:rPr>
              <w:t xml:space="preserve">Syllabus Reference: </w:t>
            </w:r>
            <w:r>
              <w:rPr>
                <w:rFonts w:ascii="Arial" w:cs="Arial" w:eastAsia="Arial" w:hAnsi="Arial"/>
                <w:color w:val="1F3864"/>
                <w:sz w:val="20"/>
                <w:szCs w:val="20"/>
              </w:rPr>
              <w:t xml:space="preserve">SE-12-09 — Producing and Implementing</w:t>
            </w:r>
          </w:p>
          <w:p>
            <w:pPr>
              <w:spacing w:before="20" w:after="40"/>
            </w:pPr>
            <w:r>
              <w:rPr>
                <w:rFonts w:ascii="Arial" w:cs="Arial" w:eastAsia="Arial" w:hAnsi="Arial"/>
                <w:b/>
                <w:bCs/>
                <w:color w:val="1F3864"/>
                <w:sz w:val="20"/>
                <w:szCs w:val="20"/>
              </w:rPr>
              <w:t xml:space="preserve">Dot Point: </w:t>
            </w:r>
            <w:r>
              <w:rPr>
                <w:rFonts w:ascii="Arial" w:cs="Arial" w:eastAsia="Arial" w:hAnsi="Arial"/>
                <w:color w:val="1F3864"/>
                <w:sz w:val="20"/>
                <w:szCs w:val="20"/>
              </w:rPr>
              <w:t xml:space="preserve">Explore strategies to respond to difficulties when developing a software engineering solution, including: looking for a solution online; collaboration with peers; outsourcing.</w:t>
            </w:r>
          </w:p>
        </w:tc>
      </w:tr>
    </w:tbl>
    <w:p>
      <w:pPr>
        <w:spacing w:before="80" w:after="80"/>
      </w:pPr>
      <w:r>
        <w:t xml:space="preserve"/>
      </w:r>
    </w:p>
    <w:p>
      <w:pPr>
        <w:pStyle w:val="Heading1"/>
        <w:pBdr>
          <w:bottom w:val="single" w:color="2E75B6" w:sz="6" w:space="1"/>
        </w:pBdr>
        <w:shd w:fill="1F3864" w:val="clear"/>
        <w:spacing w:before="360" w:after="200"/>
      </w:pPr>
      <w:r>
        <w:rPr>
          <w:rFonts w:ascii="Arial" w:cs="Arial" w:eastAsia="Arial" w:hAnsi="Arial"/>
          <w:b/>
          <w:bCs/>
          <w:color w:val="FFFFFF"/>
          <w:sz w:val="32"/>
          <w:szCs w:val="32"/>
        </w:rPr>
        <w:t xml:space="preserve">Overview</w:t>
      </w:r>
    </w:p>
    <w:p>
      <w:pPr>
        <w:spacing w:before="80" w:after="80"/>
        <w:jc w:val="both"/>
      </w:pPr>
      <w:r>
        <w:rPr>
          <w:rFonts w:ascii="Arial" w:cs="Arial" w:eastAsia="Arial" w:hAnsi="Arial"/>
          <w:sz w:val="22"/>
          <w:szCs w:val="22"/>
        </w:rPr>
        <w:t xml:space="preserve">Software development rarely proceeds without encountering technical difficulties. Professional software engineers and student developers alike must apply systematic strategies to resolve problems encountered during the development lifecycle. The NSW syllabus explicitly requires students to document the strategies they employed when difficulties arose, and to reflect on their effectiveness as part of the Producing and Implementing section of the project folio.</w:t>
      </w:r>
    </w:p>
    <w:p>
      <w:pPr>
        <w:spacing w:before="80" w:after="80"/>
      </w:pPr>
      <w:r>
        <w:t xml:space="preserve"/>
      </w:r>
    </w:p>
    <w:p>
      <w:pPr>
        <w:spacing w:before="80" w:after="80"/>
        <w:jc w:val="both"/>
      </w:pPr>
      <w:r>
        <w:rPr>
          <w:rFonts w:ascii="Arial" w:cs="Arial" w:eastAsia="Arial" w:hAnsi="Arial"/>
          <w:sz w:val="22"/>
          <w:szCs w:val="22"/>
        </w:rPr>
        <w:t xml:space="preserve">The three key strategies are:</w:t>
      </w:r>
    </w:p>
    <w:p>
      <w:pPr>
        <w:pStyle w:val="ListParagraph"/>
        <w:numPr>
          <w:ilvl w:val="0"/>
          <w:numId w:val="2"/>
        </w:numPr>
        <w:spacing w:before="60" w:after="60"/>
      </w:pPr>
      <w:r>
        <w:rPr>
          <w:rFonts w:ascii="Arial" w:cs="Arial" w:eastAsia="Arial" w:hAnsi="Arial"/>
          <w:sz w:val="22"/>
          <w:szCs w:val="22"/>
        </w:rPr>
        <w:t xml:space="preserve">Looking for a solution online</w:t>
      </w:r>
    </w:p>
    <w:p>
      <w:pPr>
        <w:pStyle w:val="ListParagraph"/>
        <w:numPr>
          <w:ilvl w:val="0"/>
          <w:numId w:val="2"/>
        </w:numPr>
        <w:spacing w:before="60" w:after="60"/>
      </w:pPr>
      <w:r>
        <w:rPr>
          <w:rFonts w:ascii="Arial" w:cs="Arial" w:eastAsia="Arial" w:hAnsi="Arial"/>
          <w:sz w:val="22"/>
          <w:szCs w:val="22"/>
        </w:rPr>
        <w:t xml:space="preserve">Collaboration with peers</w:t>
      </w:r>
    </w:p>
    <w:p>
      <w:pPr>
        <w:pStyle w:val="ListParagraph"/>
        <w:numPr>
          <w:ilvl w:val="0"/>
          <w:numId w:val="2"/>
        </w:numPr>
        <w:spacing w:before="60" w:after="60"/>
      </w:pPr>
      <w:r>
        <w:rPr>
          <w:rFonts w:ascii="Arial" w:cs="Arial" w:eastAsia="Arial" w:hAnsi="Arial"/>
          <w:sz w:val="22"/>
          <w:szCs w:val="22"/>
        </w:rPr>
        <w:t xml:space="preserve">Outsourcing</w:t>
      </w:r>
    </w:p>
    <w:p>
      <w:pPr>
        <w:spacing w:before="80" w:after="80"/>
      </w:pPr>
      <w:r>
        <w:t xml:space="preserve"/>
      </w:r>
    </w:p>
    <w:p>
      <w:pPr>
        <w:pStyle w:val="Heading1"/>
        <w:pBdr>
          <w:bottom w:val="single" w:color="2E75B6" w:sz="6" w:space="1"/>
        </w:pBdr>
        <w:shd w:fill="1F3864" w:val="clear"/>
        <w:spacing w:before="360" w:after="200"/>
      </w:pPr>
      <w:r>
        <w:rPr>
          <w:rFonts w:ascii="Arial" w:cs="Arial" w:eastAsia="Arial" w:hAnsi="Arial"/>
          <w:b/>
          <w:bCs/>
          <w:color w:val="FFFFFF"/>
          <w:sz w:val="32"/>
          <w:szCs w:val="32"/>
        </w:rPr>
        <w:t xml:space="preserve">1. Looking for a Solution Online</w:t>
      </w:r>
    </w:p>
    <w:p>
      <w:pPr>
        <w:pStyle w:val="Heading3"/>
        <w:spacing w:before="240" w:after="120"/>
      </w:pPr>
      <w:r>
        <w:rPr>
          <w:rFonts w:ascii="Arial" w:cs="Arial" w:eastAsia="Arial" w:hAnsi="Arial"/>
          <w:b/>
          <w:bCs/>
          <w:color w:val="2E75B6"/>
          <w:sz w:val="24"/>
          <w:szCs w:val="24"/>
        </w:rPr>
        <w:t xml:space="preserve">Definition</w:t>
      </w:r>
    </w:p>
    <w:p>
      <w:pPr>
        <w:spacing w:before="80" w:after="80"/>
        <w:jc w:val="both"/>
      </w:pPr>
      <w:r>
        <w:rPr>
          <w:rFonts w:ascii="Arial" w:cs="Arial" w:eastAsia="Arial" w:hAnsi="Arial"/>
          <w:sz w:val="22"/>
          <w:szCs w:val="22"/>
        </w:rPr>
        <w:t xml:space="preserve">Looking for a solution online refers to the practice of searching the internet for existing code, documentation, forum discussions, or pre-developed libraries and modules that address a specific technical problem encountered during development.</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Explanation</w:t>
      </w:r>
    </w:p>
    <w:p>
      <w:pPr>
        <w:spacing w:before="80" w:after="80"/>
        <w:jc w:val="both"/>
      </w:pPr>
      <w:r>
        <w:rPr>
          <w:rFonts w:ascii="Arial" w:cs="Arial" w:eastAsia="Arial" w:hAnsi="Arial"/>
          <w:sz w:val="22"/>
          <w:szCs w:val="22"/>
        </w:rPr>
        <w:t xml:space="preserve">When a developer encounters an unfamiliar error, an algorithm they have not previously implemented, or a feature that requires specialist knowledge, searching online is often the most time-efficient first response. Online platforms such as Stack Overflow, GitHub, the official Python documentation, and developer forums contain accumulated solutions to a vast range of common programming problems. Rather than attempting to solve every problem from scratch, developers can locate relevant code snippets, adapt them to their context, and integrate them into their solution.</w:t>
      </w:r>
    </w:p>
    <w:p>
      <w:pPr>
        <w:spacing w:before="80" w:after="80"/>
      </w:pPr>
      <w:r>
        <w:t xml:space="preserve"/>
      </w:r>
    </w:p>
    <w:p>
      <w:pPr>
        <w:spacing w:before="80" w:after="80"/>
        <w:jc w:val="both"/>
      </w:pPr>
      <w:r>
        <w:rPr>
          <w:rFonts w:ascii="Arial" w:cs="Arial" w:eastAsia="Arial" w:hAnsi="Arial"/>
          <w:sz w:val="22"/>
          <w:szCs w:val="22"/>
        </w:rPr>
        <w:t xml:space="preserve">Pre-developed code libraries and modules represent a specialised form of online solution-seeking. Python's standard library and third-party packages available through PyPI (Python Package Index) allow developers to import functionality — such as database connectivity, data visualisation, or cryptographic hashing — without writing that functionality themselves. This saves significant development time and reduces the likelihood of introducing errors into core logic.</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Why It Matters</w:t>
      </w:r>
    </w:p>
    <w:p>
      <w:pPr>
        <w:spacing w:before="80" w:after="80"/>
        <w:jc w:val="both"/>
      </w:pPr>
      <w:r>
        <w:rPr>
          <w:rFonts w:ascii="Arial" w:cs="Arial" w:eastAsia="Arial" w:hAnsi="Arial"/>
          <w:sz w:val="22"/>
          <w:szCs w:val="22"/>
        </w:rPr>
        <w:t xml:space="preserve">Using online resources mirrors authentic industry practice. Professional developers routinely consult documentation and community resources. The skill lies not merely in finding a solution, but in critically evaluating its suitability, understanding the code before implementing it, and adapting it appropriately to the specific project requirements. Students must also consider software licensing when incorporating third-party code.</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Real-World Example</w:t>
      </w:r>
    </w:p>
    <w:p>
      <w:pPr>
        <w:spacing w:before="80" w:after="80"/>
        <w:jc w:val="both"/>
      </w:pPr>
      <w:r>
        <w:rPr>
          <w:rFonts w:ascii="Arial" w:cs="Arial" w:eastAsia="Arial" w:hAnsi="Arial"/>
          <w:sz w:val="22"/>
          <w:szCs w:val="22"/>
        </w:rPr>
        <w:t xml:space="preserve">A student developing a web-based school timetable system in Python using the Flask framework encounters an error when attempting to connect to an SQLite database. The error message sqlite3.OperationalError: no such table appears. The developer searches Stack Overflow, locates a verified answer, and adapts the following solution:</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before="20" w:after="20"/>
            </w:pPr>
            <w:r>
              <w:rPr>
                <w:rFonts w:ascii="Courier New" w:cs="Courier New" w:eastAsia="Courier New" w:hAnsi="Courier New"/>
                <w:color w:val="1F3864"/>
                <w:sz w:val="18"/>
                <w:szCs w:val="18"/>
              </w:rPr>
              <w:t xml:space="preserve">from flask import Flask</w:t>
            </w:r>
          </w:p>
          <w:p>
            <w:pPr>
              <w:spacing w:before="20" w:after="20"/>
            </w:pPr>
            <w:r>
              <w:rPr>
                <w:rFonts w:ascii="Courier New" w:cs="Courier New" w:eastAsia="Courier New" w:hAnsi="Courier New"/>
                <w:color w:val="1F3864"/>
                <w:sz w:val="18"/>
                <w:szCs w:val="18"/>
              </w:rPr>
              <w:t xml:space="preserve">from flask_sqlalchemy import SQLAlchemy</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app = Flask(__name__)</w:t>
            </w:r>
          </w:p>
          <w:p>
            <w:pPr>
              <w:spacing w:before="20" w:after="20"/>
            </w:pPr>
            <w:r>
              <w:rPr>
                <w:rFonts w:ascii="Courier New" w:cs="Courier New" w:eastAsia="Courier New" w:hAnsi="Courier New"/>
                <w:color w:val="1F3864"/>
                <w:sz w:val="18"/>
                <w:szCs w:val="18"/>
              </w:rPr>
              <w:t xml:space="preserve">app.config['SQLALCHEMY_DATABASE_URI'] = 'sqlite:///timetable.db'</w:t>
            </w:r>
          </w:p>
          <w:p>
            <w:pPr>
              <w:spacing w:before="20" w:after="20"/>
            </w:pPr>
            <w:r>
              <w:rPr>
                <w:rFonts w:ascii="Courier New" w:cs="Courier New" w:eastAsia="Courier New" w:hAnsi="Courier New"/>
                <w:color w:val="1F3864"/>
                <w:sz w:val="18"/>
                <w:szCs w:val="18"/>
              </w:rPr>
              <w:t xml:space="preserve">db = SQLAlchemy(app)</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class Period(db.Model):</w:t>
            </w:r>
          </w:p>
          <w:p>
            <w:pPr>
              <w:spacing w:before="20" w:after="20"/>
            </w:pPr>
            <w:r>
              <w:rPr>
                <w:rFonts w:ascii="Courier New" w:cs="Courier New" w:eastAsia="Courier New" w:hAnsi="Courier New"/>
                <w:color w:val="1F3864"/>
                <w:sz w:val="18"/>
                <w:szCs w:val="18"/>
              </w:rPr>
              <w:t xml:space="preserve">    id = db.Column(db.Integer, primary_key=True)</w:t>
            </w:r>
          </w:p>
          <w:p>
            <w:pPr>
              <w:spacing w:before="20" w:after="20"/>
            </w:pPr>
            <w:r>
              <w:rPr>
                <w:rFonts w:ascii="Courier New" w:cs="Courier New" w:eastAsia="Courier New" w:hAnsi="Courier New"/>
                <w:color w:val="1F3864"/>
                <w:sz w:val="18"/>
                <w:szCs w:val="18"/>
              </w:rPr>
              <w:t xml:space="preserve">    subject = db.Column(db.String(100), nullable=False)</w:t>
            </w:r>
          </w:p>
          <w:p>
            <w:pPr>
              <w:spacing w:before="20" w:after="20"/>
            </w:pPr>
            <w:r>
              <w:rPr>
                <w:rFonts w:ascii="Courier New" w:cs="Courier New" w:eastAsia="Courier New" w:hAnsi="Courier New"/>
                <w:color w:val="1F3864"/>
                <w:sz w:val="18"/>
                <w:szCs w:val="18"/>
              </w:rPr>
              <w:t xml:space="preserve">    room = db.Column(db.String(20), nullable=False)</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with app.app_context():</w:t>
            </w:r>
          </w:p>
          <w:p>
            <w:pPr>
              <w:spacing w:before="20" w:after="20"/>
            </w:pPr>
            <w:r>
              <w:rPr>
                <w:rFonts w:ascii="Courier New" w:cs="Courier New" w:eastAsia="Courier New" w:hAnsi="Courier New"/>
                <w:color w:val="1F3864"/>
                <w:sz w:val="18"/>
                <w:szCs w:val="18"/>
              </w:rPr>
              <w:t xml:space="preserve">    db.create_all()  # Solution found via Flask-SQLAlchemy documentation</w:t>
            </w:r>
          </w:p>
        </w:tc>
      </w:tr>
    </w:tbl>
    <w:p>
      <w:pPr>
        <w:spacing w:before="80" w:after="80"/>
      </w:pPr>
      <w:r>
        <w:t xml:space="preserve"/>
      </w:r>
    </w:p>
    <w:p>
      <w:pPr>
        <w:spacing w:before="80" w:after="80"/>
        <w:jc w:val="both"/>
      </w:pPr>
      <w:r>
        <w:rPr>
          <w:rFonts w:ascii="Arial" w:cs="Arial" w:eastAsia="Arial" w:hAnsi="Arial"/>
          <w:sz w:val="22"/>
          <w:szCs w:val="22"/>
        </w:rPr>
        <w:t xml:space="preserve">The developer understands the db.create_all() function before using it, verifies it solves the error, and documents this in their project folio.</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before="80" w:after="60"/>
            </w:pPr>
            <w:r>
              <w:rPr>
                <w:rFonts w:ascii="Arial" w:cs="Arial" w:eastAsia="Arial" w:hAnsi="Arial"/>
                <w:b/>
                <w:bCs/>
                <w:color w:val="C00000"/>
                <w:sz w:val="22"/>
                <w:szCs w:val="22"/>
              </w:rPr>
              <w:t xml:space="preserve">Common Mistakes</w:t>
            </w:r>
          </w:p>
          <w:p>
            <w:pPr>
              <w:spacing w:before="40" w:after="40"/>
              <w:jc w:val="both"/>
            </w:pPr>
            <w:r>
              <w:rPr>
                <w:rFonts w:ascii="Arial" w:cs="Arial" w:eastAsia="Arial" w:hAnsi="Arial"/>
                <w:sz w:val="22"/>
                <w:szCs w:val="22"/>
              </w:rPr>
              <w:t xml:space="preserve">Students frequently copy code from online sources without understanding what it does, which can introduce security vulnerabilities or logic errors that are difficult to debug later. Another common error is failing to acknowledge the source of online solutions in project documentation, which raises academic integrity concerns. Students must also avoid applying solutions intended for a different version of a language or framework.</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before="80" w:after="60"/>
            </w:pPr>
            <w:r>
              <w:rPr>
                <w:rFonts w:ascii="Arial" w:cs="Arial" w:eastAsia="Arial" w:hAnsi="Arial"/>
                <w:b/>
                <w:bCs/>
                <w:color w:val="375623"/>
                <w:sz w:val="22"/>
                <w:szCs w:val="22"/>
              </w:rPr>
              <w:t xml:space="preserve">Exam Tip</w:t>
            </w:r>
          </w:p>
          <w:p>
            <w:pPr>
              <w:spacing w:before="40" w:after="40"/>
              <w:jc w:val="both"/>
            </w:pPr>
            <w:r>
              <w:rPr>
                <w:rFonts w:ascii="Arial" w:cs="Arial" w:eastAsia="Arial" w:hAnsi="Arial"/>
                <w:sz w:val="22"/>
                <w:szCs w:val="22"/>
              </w:rPr>
              <w:t xml:space="preserve">In an examination context, when asked about this strategy, emphasise the importance of evaluating, adapting, and understanding online solutions rather than simply copying them. Mention specific resource types (documentation, Stack Overflow, GitHub, PyPI) and connect the strategy to efficient use of development time.</w:t>
            </w:r>
          </w:p>
        </w:tc>
      </w:tr>
    </w:tbl>
    <w:p>
      <w:pPr>
        <w:spacing w:before="80" w:after="80"/>
      </w:pPr>
      <w:r>
        <w:t xml:space="preserve"/>
      </w:r>
    </w:p>
    <w:p>
      <w:pPr>
        <w:pStyle w:val="Heading1"/>
        <w:pBdr>
          <w:bottom w:val="single" w:color="2E75B6" w:sz="6" w:space="1"/>
        </w:pBdr>
        <w:shd w:fill="1F3864" w:val="clear"/>
        <w:spacing w:before="360" w:after="200"/>
      </w:pPr>
      <w:r>
        <w:rPr>
          <w:rFonts w:ascii="Arial" w:cs="Arial" w:eastAsia="Arial" w:hAnsi="Arial"/>
          <w:b/>
          <w:bCs/>
          <w:color w:val="FFFFFF"/>
          <w:sz w:val="32"/>
          <w:szCs w:val="32"/>
        </w:rPr>
        <w:t xml:space="preserve">2. Collaboration with Peers</w:t>
      </w:r>
    </w:p>
    <w:p>
      <w:pPr>
        <w:pStyle w:val="Heading3"/>
        <w:spacing w:before="240" w:after="120"/>
      </w:pPr>
      <w:r>
        <w:rPr>
          <w:rFonts w:ascii="Arial" w:cs="Arial" w:eastAsia="Arial" w:hAnsi="Arial"/>
          <w:b/>
          <w:bCs/>
          <w:color w:val="2E75B6"/>
          <w:sz w:val="24"/>
          <w:szCs w:val="24"/>
        </w:rPr>
        <w:t xml:space="preserve">Definition</w:t>
      </w:r>
    </w:p>
    <w:p>
      <w:pPr>
        <w:spacing w:before="80" w:after="80"/>
        <w:jc w:val="both"/>
      </w:pPr>
      <w:r>
        <w:rPr>
          <w:rFonts w:ascii="Arial" w:cs="Arial" w:eastAsia="Arial" w:hAnsi="Arial"/>
          <w:sz w:val="22"/>
          <w:szCs w:val="22"/>
        </w:rPr>
        <w:t xml:space="preserve">Collaboration with peers refers to the practice of engaging classmates, team members, or fellow developers to discuss problems, review code, share approaches, and collectively work towards a solution when difficulties arise.</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Explanation</w:t>
      </w:r>
    </w:p>
    <w:p>
      <w:pPr>
        <w:spacing w:before="80" w:after="80"/>
        <w:jc w:val="both"/>
      </w:pPr>
      <w:r>
        <w:rPr>
          <w:rFonts w:ascii="Arial" w:cs="Arial" w:eastAsia="Arial" w:hAnsi="Arial"/>
          <w:sz w:val="22"/>
          <w:szCs w:val="22"/>
        </w:rPr>
        <w:t xml:space="preserve">Peer collaboration is most effective when structured through deliberate stop points — planned moments in the development process where a developer pauses, presents their current problem to classmates, and receives feedback. This approach draws on the diverse perspectives and experiences of peers, who may have encountered and resolved similar problems or who can identify errors through a fresh pair of eyes.</w:t>
      </w:r>
    </w:p>
    <w:p>
      <w:pPr>
        <w:spacing w:before="80" w:after="80"/>
      </w:pPr>
      <w:r>
        <w:t xml:space="preserve"/>
      </w:r>
    </w:p>
    <w:p>
      <w:pPr>
        <w:spacing w:before="80" w:after="80"/>
        <w:jc w:val="both"/>
      </w:pPr>
      <w:r>
        <w:rPr>
          <w:rFonts w:ascii="Arial" w:cs="Arial" w:eastAsia="Arial" w:hAnsi="Arial"/>
          <w:sz w:val="22"/>
          <w:szCs w:val="22"/>
        </w:rPr>
        <w:t xml:space="preserve">Techniques commonly used in peer collaboration include pair programming (where two developers work at a single workstation, with one writing code and the other reviewing in real time), code reviews (where peers examine each other's code for logic errors, inefficiencies, or bugs), and structured problem-sharing sessions (where a developer explains their problem and the group collectively proposes solutions).</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Why It Matters</w:t>
      </w:r>
    </w:p>
    <w:p>
      <w:pPr>
        <w:spacing w:before="80" w:after="80"/>
        <w:jc w:val="both"/>
      </w:pPr>
      <w:r>
        <w:rPr>
          <w:rFonts w:ascii="Arial" w:cs="Arial" w:eastAsia="Arial" w:hAnsi="Arial"/>
          <w:sz w:val="22"/>
          <w:szCs w:val="22"/>
        </w:rPr>
        <w:t xml:space="preserve">Collaborative problem-solving reflects the structure of professional software development teams, where code review and team-based debugging are standard practices. Peer collaboration also reinforces understanding, as explaining a problem to another person often helps the developer clarify their own thinking. In the HSC project context, documented evidence of collaboration with peers demonstrates process management and the ability to work constructively within a development context.</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Real-World Example</w:t>
      </w:r>
    </w:p>
    <w:p>
      <w:pPr>
        <w:spacing w:before="80" w:after="80"/>
        <w:jc w:val="both"/>
      </w:pPr>
      <w:r>
        <w:rPr>
          <w:rFonts w:ascii="Arial" w:cs="Arial" w:eastAsia="Arial" w:hAnsi="Arial"/>
          <w:sz w:val="22"/>
          <w:szCs w:val="22"/>
        </w:rPr>
        <w:t xml:space="preserve">During the development of a student records management system, a student is unable to identify why their search function is returning all records regardless of the search term entered. At a structured stop point, the student presents their code to two classmates: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before="20" w:after="20"/>
            </w:pPr>
            <w:r>
              <w:rPr>
                <w:rFonts w:ascii="Courier New" w:cs="Courier New" w:eastAsia="Courier New" w:hAnsi="Courier New"/>
                <w:color w:val="1F3864"/>
                <w:sz w:val="18"/>
                <w:szCs w:val="18"/>
              </w:rPr>
              <w:t xml:space="preserve">def search_student(name, students):</w:t>
            </w:r>
          </w:p>
          <w:p>
            <w:pPr>
              <w:spacing w:before="20" w:after="20"/>
            </w:pPr>
            <w:r>
              <w:rPr>
                <w:rFonts w:ascii="Courier New" w:cs="Courier New" w:eastAsia="Courier New" w:hAnsi="Courier New"/>
                <w:color w:val="1F3864"/>
                <w:sz w:val="18"/>
                <w:szCs w:val="18"/>
              </w:rPr>
              <w:t xml:space="preserve">    results = []</w:t>
            </w:r>
          </w:p>
          <w:p>
            <w:pPr>
              <w:spacing w:before="20" w:after="20"/>
            </w:pPr>
            <w:r>
              <w:rPr>
                <w:rFonts w:ascii="Courier New" w:cs="Courier New" w:eastAsia="Courier New" w:hAnsi="Courier New"/>
                <w:color w:val="1F3864"/>
                <w:sz w:val="18"/>
                <w:szCs w:val="18"/>
              </w:rPr>
              <w:t xml:space="preserve">    for student in students:</w:t>
            </w:r>
          </w:p>
          <w:p>
            <w:pPr>
              <w:spacing w:before="20" w:after="20"/>
            </w:pPr>
            <w:r>
              <w:rPr>
                <w:rFonts w:ascii="Courier New" w:cs="Courier New" w:eastAsia="Courier New" w:hAnsi="Courier New"/>
                <w:color w:val="1F3864"/>
                <w:sz w:val="18"/>
                <w:szCs w:val="18"/>
              </w:rPr>
              <w:t xml:space="preserve">        if name in student["name"]:  # Bug: case-sensitive comparison</w:t>
            </w:r>
          </w:p>
          <w:p>
            <w:pPr>
              <w:spacing w:before="20" w:after="20"/>
            </w:pPr>
            <w:r>
              <w:rPr>
                <w:rFonts w:ascii="Courier New" w:cs="Courier New" w:eastAsia="Courier New" w:hAnsi="Courier New"/>
                <w:color w:val="1F3864"/>
                <w:sz w:val="18"/>
                <w:szCs w:val="18"/>
              </w:rPr>
              <w:t xml:space="preserve">            results.append(student)</w:t>
            </w:r>
          </w:p>
          <w:p>
            <w:pPr>
              <w:spacing w:before="20" w:after="20"/>
            </w:pPr>
            <w:r>
              <w:rPr>
                <w:rFonts w:ascii="Courier New" w:cs="Courier New" w:eastAsia="Courier New" w:hAnsi="Courier New"/>
                <w:color w:val="1F3864"/>
                <w:sz w:val="18"/>
                <w:szCs w:val="18"/>
              </w:rPr>
              <w:t xml:space="preserve">    return results</w:t>
            </w:r>
          </w:p>
        </w:tc>
      </w:tr>
    </w:tbl>
    <w:p>
      <w:pPr>
        <w:spacing w:before="80" w:after="80"/>
      </w:pPr>
      <w:r>
        <w:t xml:space="preserve"/>
      </w:r>
    </w:p>
    <w:p>
      <w:pPr>
        <w:spacing w:before="80" w:after="80"/>
        <w:jc w:val="both"/>
      </w:pPr>
      <w:r>
        <w:rPr>
          <w:rFonts w:ascii="Arial" w:cs="Arial" w:eastAsia="Arial" w:hAnsi="Arial"/>
          <w:sz w:val="22"/>
          <w:szCs w:val="22"/>
        </w:rPr>
        <w:t xml:space="preserve">A peer identifies that the comparison is case-sensitive and suggests using .lower() on both strings. The developer implements the fix:</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before="20" w:after="20"/>
            </w:pPr>
            <w:r>
              <w:rPr>
                <w:rFonts w:ascii="Courier New" w:cs="Courier New" w:eastAsia="Courier New" w:hAnsi="Courier New"/>
                <w:color w:val="1F3864"/>
                <w:sz w:val="18"/>
                <w:szCs w:val="18"/>
              </w:rPr>
              <w:t xml:space="preserve">def search_student(name, students):</w:t>
            </w:r>
          </w:p>
          <w:p>
            <w:pPr>
              <w:spacing w:before="20" w:after="20"/>
            </w:pPr>
            <w:r>
              <w:rPr>
                <w:rFonts w:ascii="Courier New" w:cs="Courier New" w:eastAsia="Courier New" w:hAnsi="Courier New"/>
                <w:color w:val="1F3864"/>
                <w:sz w:val="18"/>
                <w:szCs w:val="18"/>
              </w:rPr>
              <w:t xml:space="preserve">    results = []</w:t>
            </w:r>
          </w:p>
          <w:p>
            <w:pPr>
              <w:spacing w:before="20" w:after="20"/>
            </w:pPr>
            <w:r>
              <w:rPr>
                <w:rFonts w:ascii="Courier New" w:cs="Courier New" w:eastAsia="Courier New" w:hAnsi="Courier New"/>
                <w:color w:val="1F3864"/>
                <w:sz w:val="18"/>
                <w:szCs w:val="18"/>
              </w:rPr>
              <w:t xml:space="preserve">    for student in students:</w:t>
            </w:r>
          </w:p>
          <w:p>
            <w:pPr>
              <w:spacing w:before="20" w:after="20"/>
            </w:pPr>
            <w:r>
              <w:rPr>
                <w:rFonts w:ascii="Courier New" w:cs="Courier New" w:eastAsia="Courier New" w:hAnsi="Courier New"/>
                <w:color w:val="1F3864"/>
                <w:sz w:val="18"/>
                <w:szCs w:val="18"/>
              </w:rPr>
              <w:t xml:space="preserve">        if name.lower() in student["name"].lower():</w:t>
            </w:r>
          </w:p>
          <w:p>
            <w:pPr>
              <w:spacing w:before="20" w:after="20"/>
            </w:pPr>
            <w:r>
              <w:rPr>
                <w:rFonts w:ascii="Courier New" w:cs="Courier New" w:eastAsia="Courier New" w:hAnsi="Courier New"/>
                <w:color w:val="1F3864"/>
                <w:sz w:val="18"/>
                <w:szCs w:val="18"/>
              </w:rPr>
              <w:t xml:space="preserve">            results.append(student)</w:t>
            </w:r>
          </w:p>
          <w:p>
            <w:pPr>
              <w:spacing w:before="20" w:after="20"/>
            </w:pPr>
            <w:r>
              <w:rPr>
                <w:rFonts w:ascii="Courier New" w:cs="Courier New" w:eastAsia="Courier New" w:hAnsi="Courier New"/>
                <w:color w:val="1F3864"/>
                <w:sz w:val="18"/>
                <w:szCs w:val="18"/>
              </w:rPr>
              <w:t xml:space="preserve">    return results</w:t>
            </w:r>
          </w:p>
        </w:tc>
      </w:tr>
    </w:tbl>
    <w:p>
      <w:pPr>
        <w:spacing w:before="80" w:after="80"/>
      </w:pPr>
      <w:r>
        <w:t xml:space="preserve"/>
      </w:r>
    </w:p>
    <w:p>
      <w:pPr>
        <w:spacing w:before="80" w:after="80"/>
        <w:jc w:val="both"/>
      </w:pPr>
      <w:r>
        <w:rPr>
          <w:rFonts w:ascii="Arial" w:cs="Arial" w:eastAsia="Arial" w:hAnsi="Arial"/>
          <w:sz w:val="22"/>
          <w:szCs w:val="22"/>
        </w:rPr>
        <w:t xml:space="preserve">The developer documents this peer review interaction in the project folio, noting the problem, the peer's suggestion, and the resulting improvement.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before="80" w:after="60"/>
            </w:pPr>
            <w:r>
              <w:rPr>
                <w:rFonts w:ascii="Arial" w:cs="Arial" w:eastAsia="Arial" w:hAnsi="Arial"/>
                <w:b/>
                <w:bCs/>
                <w:color w:val="C00000"/>
                <w:sz w:val="22"/>
                <w:szCs w:val="22"/>
              </w:rPr>
              <w:t xml:space="preserve">Common Mistakes</w:t>
            </w:r>
          </w:p>
          <w:p>
            <w:pPr>
              <w:spacing w:before="40" w:after="40"/>
              <w:jc w:val="both"/>
            </w:pPr>
            <w:r>
              <w:rPr>
                <w:rFonts w:ascii="Arial" w:cs="Arial" w:eastAsia="Arial" w:hAnsi="Arial"/>
                <w:sz w:val="22"/>
                <w:szCs w:val="22"/>
              </w:rPr>
              <w:t xml:space="preserve">Students often rely on peer collaboration too informally, without documenting the exchange. For HSC project purposes, undocumented collaboration provides no evidence of the strategy being employed. Another error is passively receiving a solution without engaging critically — students must understand the solution and explain how they applied it to their own context.</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before="80" w:after="60"/>
            </w:pPr>
            <w:r>
              <w:rPr>
                <w:rFonts w:ascii="Arial" w:cs="Arial" w:eastAsia="Arial" w:hAnsi="Arial"/>
                <w:b/>
                <w:bCs/>
                <w:color w:val="375623"/>
                <w:sz w:val="22"/>
                <w:szCs w:val="22"/>
              </w:rPr>
              <w:t xml:space="preserve">Exam Tip</w:t>
            </w:r>
          </w:p>
          <w:p>
            <w:pPr>
              <w:spacing w:before="40" w:after="40"/>
              <w:jc w:val="both"/>
            </w:pPr>
            <w:r>
              <w:rPr>
                <w:rFonts w:ascii="Arial" w:cs="Arial" w:eastAsia="Arial" w:hAnsi="Arial"/>
                <w:sz w:val="22"/>
                <w:szCs w:val="22"/>
              </w:rPr>
              <w:t xml:space="preserve">When discussing collaboration with peers in an exam response, describe the mechanism (stop points, code review, pair programming), explain the benefit (fresh perspective, diverse knowledge, error identification), and connect it to professional software engineering practice.</w:t>
            </w:r>
          </w:p>
        </w:tc>
      </w:tr>
    </w:tbl>
    <w:p>
      <w:pPr>
        <w:spacing w:before="80" w:after="80"/>
      </w:pPr>
      <w:r>
        <w:t xml:space="preserve"/>
      </w:r>
    </w:p>
    <w:p>
      <w:pPr>
        <w:pStyle w:val="Heading1"/>
        <w:pBdr>
          <w:bottom w:val="single" w:color="2E75B6" w:sz="6" w:space="1"/>
        </w:pBdr>
        <w:shd w:fill="1F3864" w:val="clear"/>
        <w:spacing w:before="360" w:after="200"/>
      </w:pPr>
      <w:r>
        <w:rPr>
          <w:rFonts w:ascii="Arial" w:cs="Arial" w:eastAsia="Arial" w:hAnsi="Arial"/>
          <w:b/>
          <w:bCs/>
          <w:color w:val="FFFFFF"/>
          <w:sz w:val="32"/>
          <w:szCs w:val="32"/>
        </w:rPr>
        <w:t xml:space="preserve">3. Outsourcing</w:t>
      </w:r>
    </w:p>
    <w:p>
      <w:pPr>
        <w:pStyle w:val="Heading3"/>
        <w:spacing w:before="240" w:after="120"/>
      </w:pPr>
      <w:r>
        <w:rPr>
          <w:rFonts w:ascii="Arial" w:cs="Arial" w:eastAsia="Arial" w:hAnsi="Arial"/>
          <w:b/>
          <w:bCs/>
          <w:color w:val="2E75B6"/>
          <w:sz w:val="24"/>
          <w:szCs w:val="24"/>
        </w:rPr>
        <w:t xml:space="preserve">Definition</w:t>
      </w:r>
    </w:p>
    <w:p>
      <w:pPr>
        <w:spacing w:before="80" w:after="80"/>
        <w:jc w:val="both"/>
      </w:pPr>
      <w:r>
        <w:rPr>
          <w:rFonts w:ascii="Arial" w:cs="Arial" w:eastAsia="Arial" w:hAnsi="Arial"/>
          <w:sz w:val="22"/>
          <w:szCs w:val="22"/>
        </w:rPr>
        <w:t xml:space="preserve">Outsourcing in a software engineering context refers to the practice of delegating a specific technical problem or component of a solution to an external party — such as a specialist developer, a third-party service provider, or an API provider — when the required expertise or functionality is beyond the current developer's capacity.</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Explanation</w:t>
      </w:r>
    </w:p>
    <w:p>
      <w:pPr>
        <w:spacing w:before="80" w:after="80"/>
        <w:jc w:val="both"/>
      </w:pPr>
      <w:r>
        <w:rPr>
          <w:rFonts w:ascii="Arial" w:cs="Arial" w:eastAsia="Arial" w:hAnsi="Arial"/>
          <w:sz w:val="22"/>
          <w:szCs w:val="22"/>
        </w:rPr>
        <w:t xml:space="preserve">Outsourcing is a professional strategy used when a particular challenge requires specialised knowledge that would take too long to develop internally, or when a third-party solution already exists at a level of quality that would be impractical to replicate independently. In practice, this may involve integrating a third-party Application Programming Interface (API) to provide functionality such as payment processing, mapping services, or authentication, rather than developing that functionality from scratch.</w:t>
      </w:r>
    </w:p>
    <w:p>
      <w:pPr>
        <w:spacing w:before="80" w:after="80"/>
      </w:pPr>
      <w:r>
        <w:t xml:space="preserve"/>
      </w:r>
    </w:p>
    <w:p>
      <w:pPr>
        <w:spacing w:before="80" w:after="80"/>
        <w:jc w:val="both"/>
      </w:pPr>
      <w:r>
        <w:rPr>
          <w:rFonts w:ascii="Arial" w:cs="Arial" w:eastAsia="Arial" w:hAnsi="Arial"/>
          <w:sz w:val="22"/>
          <w:szCs w:val="22"/>
        </w:rPr>
        <w:t xml:space="preserve">In the HSC project context, outsourcing is most appropriately understood as the strategic use of external services, APIs, or libraries that address specific challenges beyond the student's current capability. The developer retains responsibility for integrating the outsourced component and ensuring it meets the project's functional requirements.</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Why It Matters</w:t>
      </w:r>
    </w:p>
    <w:p>
      <w:pPr>
        <w:spacing w:before="80" w:after="80"/>
        <w:jc w:val="both"/>
      </w:pPr>
      <w:r>
        <w:rPr>
          <w:rFonts w:ascii="Arial" w:cs="Arial" w:eastAsia="Arial" w:hAnsi="Arial"/>
          <w:sz w:val="22"/>
          <w:szCs w:val="22"/>
        </w:rPr>
        <w:t xml:space="preserve">Outsourcing reflects the economic and practical realities of professional software development. A small development team building an e-commerce platform would not build their own payment gateway — they would integrate an established service such as Stripe or PayPal. Understanding when to outsource versus when to develop a solution internally is a critical professional judgement that demonstrates maturity in software engineering practice.</w:t>
      </w:r>
    </w:p>
    <w:p>
      <w:pPr>
        <w:spacing w:before="80" w:after="80"/>
      </w:pPr>
      <w:r>
        <w:t xml:space="preserve"/>
      </w:r>
    </w:p>
    <w:p>
      <w:pPr>
        <w:pStyle w:val="Heading3"/>
        <w:spacing w:before="240" w:after="120"/>
      </w:pPr>
      <w:r>
        <w:rPr>
          <w:rFonts w:ascii="Arial" w:cs="Arial" w:eastAsia="Arial" w:hAnsi="Arial"/>
          <w:b/>
          <w:bCs/>
          <w:color w:val="2E75B6"/>
          <w:sz w:val="24"/>
          <w:szCs w:val="24"/>
        </w:rPr>
        <w:t xml:space="preserve">Real-World Example</w:t>
      </w:r>
    </w:p>
    <w:p>
      <w:pPr>
        <w:spacing w:before="80" w:after="80"/>
        <w:jc w:val="both"/>
      </w:pPr>
      <w:r>
        <w:rPr>
          <w:rFonts w:ascii="Arial" w:cs="Arial" w:eastAsia="Arial" w:hAnsi="Arial"/>
          <w:sz w:val="22"/>
          <w:szCs w:val="22"/>
        </w:rPr>
        <w:t xml:space="preserve">A student developing a school event notification system requires the ability to send automated email alerts to parents. Rather than attempting to configure a mail server from scratch, the student identifies this as a suitable component to outsource and integrates the SendGrid email API:</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before="20" w:after="20"/>
            </w:pPr>
            <w:r>
              <w:rPr>
                <w:rFonts w:ascii="Courier New" w:cs="Courier New" w:eastAsia="Courier New" w:hAnsi="Courier New"/>
                <w:color w:val="1F3864"/>
                <w:sz w:val="18"/>
                <w:szCs w:val="18"/>
              </w:rPr>
              <w:t xml:space="preserve">import sendgrid</w:t>
            </w:r>
          </w:p>
          <w:p>
            <w:pPr>
              <w:spacing w:before="20" w:after="20"/>
            </w:pPr>
            <w:r>
              <w:rPr>
                <w:rFonts w:ascii="Courier New" w:cs="Courier New" w:eastAsia="Courier New" w:hAnsi="Courier New"/>
                <w:color w:val="1F3864"/>
                <w:sz w:val="18"/>
                <w:szCs w:val="18"/>
              </w:rPr>
              <w:t xml:space="preserve">from sendgrid.helpers.mail import Mail</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def send_notification(recipient_email, subject, body):</w:t>
            </w:r>
          </w:p>
          <w:p>
            <w:pPr>
              <w:spacing w:before="20" w:after="20"/>
            </w:pPr>
            <w:r>
              <w:rPr>
                <w:rFonts w:ascii="Courier New" w:cs="Courier New" w:eastAsia="Courier New" w:hAnsi="Courier New"/>
                <w:color w:val="1F3864"/>
                <w:sz w:val="18"/>
                <w:szCs w:val="18"/>
              </w:rPr>
              <w:t xml:space="preserve">    sg = sendgrid.SendGridAPIClient(api_key='YOUR_API_KEY')</w:t>
            </w:r>
          </w:p>
          <w:p>
            <w:pPr>
              <w:spacing w:before="20" w:after="20"/>
            </w:pPr>
            <w:r>
              <w:rPr>
                <w:rFonts w:ascii="Courier New" w:cs="Courier New" w:eastAsia="Courier New" w:hAnsi="Courier New"/>
                <w:color w:val="1F3864"/>
                <w:sz w:val="18"/>
                <w:szCs w:val="18"/>
              </w:rPr>
              <w:t xml:space="preserve">    message = Mail(</w:t>
            </w:r>
          </w:p>
          <w:p>
            <w:pPr>
              <w:spacing w:before="20" w:after="20"/>
            </w:pPr>
            <w:r>
              <w:rPr>
                <w:rFonts w:ascii="Courier New" w:cs="Courier New" w:eastAsia="Courier New" w:hAnsi="Courier New"/>
                <w:color w:val="1F3864"/>
                <w:sz w:val="18"/>
                <w:szCs w:val="18"/>
              </w:rPr>
              <w:t xml:space="preserve">        from_email='school@example.edu.au',</w:t>
            </w:r>
          </w:p>
          <w:p>
            <w:pPr>
              <w:spacing w:before="20" w:after="20"/>
            </w:pPr>
            <w:r>
              <w:rPr>
                <w:rFonts w:ascii="Courier New" w:cs="Courier New" w:eastAsia="Courier New" w:hAnsi="Courier New"/>
                <w:color w:val="1F3864"/>
                <w:sz w:val="18"/>
                <w:szCs w:val="18"/>
              </w:rPr>
              <w:t xml:space="preserve">        to_emails=recipient_email,</w:t>
            </w:r>
          </w:p>
          <w:p>
            <w:pPr>
              <w:spacing w:before="20" w:after="20"/>
            </w:pPr>
            <w:r>
              <w:rPr>
                <w:rFonts w:ascii="Courier New" w:cs="Courier New" w:eastAsia="Courier New" w:hAnsi="Courier New"/>
                <w:color w:val="1F3864"/>
                <w:sz w:val="18"/>
                <w:szCs w:val="18"/>
              </w:rPr>
              <w:t xml:space="preserve">        subject=subject,</w:t>
            </w:r>
          </w:p>
          <w:p>
            <w:pPr>
              <w:spacing w:before="20" w:after="20"/>
            </w:pPr>
            <w:r>
              <w:rPr>
                <w:rFonts w:ascii="Courier New" w:cs="Courier New" w:eastAsia="Courier New" w:hAnsi="Courier New"/>
                <w:color w:val="1F3864"/>
                <w:sz w:val="18"/>
                <w:szCs w:val="18"/>
              </w:rPr>
              <w:t xml:space="preserve">        plain_text_content=body</w:t>
            </w:r>
          </w:p>
          <w:p>
            <w:pPr>
              <w:spacing w:before="20" w:after="20"/>
            </w:pPr>
            <w:r>
              <w:rPr>
                <w:rFonts w:ascii="Courier New" w:cs="Courier New" w:eastAsia="Courier New" w:hAnsi="Courier New"/>
                <w:color w:val="1F3864"/>
                <w:sz w:val="18"/>
                <w:szCs w:val="18"/>
              </w:rPr>
              <w:t xml:space="preserve">    )</w:t>
            </w:r>
          </w:p>
          <w:p>
            <w:pPr>
              <w:spacing w:before="20" w:after="20"/>
            </w:pPr>
            <w:r>
              <w:rPr>
                <w:rFonts w:ascii="Courier New" w:cs="Courier New" w:eastAsia="Courier New" w:hAnsi="Courier New"/>
                <w:color w:val="1F3864"/>
                <w:sz w:val="18"/>
                <w:szCs w:val="18"/>
              </w:rPr>
              <w:t xml:space="preserve">    response = sg.send(message)</w:t>
            </w:r>
          </w:p>
          <w:p>
            <w:pPr>
              <w:spacing w:before="20" w:after="20"/>
            </w:pPr>
            <w:r>
              <w:rPr>
                <w:rFonts w:ascii="Courier New" w:cs="Courier New" w:eastAsia="Courier New" w:hAnsi="Courier New"/>
                <w:color w:val="1F3864"/>
                <w:sz w:val="18"/>
                <w:szCs w:val="18"/>
              </w:rPr>
              <w:t xml:space="preserve">    return response.status_code</w:t>
            </w:r>
          </w:p>
        </w:tc>
      </w:tr>
    </w:tbl>
    <w:p>
      <w:pPr>
        <w:spacing w:before="80" w:after="80"/>
      </w:pPr>
      <w:r>
        <w:t xml:space="preserve"/>
      </w:r>
    </w:p>
    <w:p>
      <w:pPr>
        <w:spacing w:before="80" w:after="80"/>
        <w:jc w:val="both"/>
      </w:pPr>
      <w:r>
        <w:rPr>
          <w:rFonts w:ascii="Arial" w:cs="Arial" w:eastAsia="Arial" w:hAnsi="Arial"/>
          <w:sz w:val="22"/>
          <w:szCs w:val="22"/>
        </w:rPr>
        <w:t xml:space="preserve">The student documents in the project folio that email delivery was identified as a component requiring specialist infrastructure, that SendGrid was selected as an appropriate third-party provider, and that the integration was tested and verified.</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before="80" w:after="60"/>
            </w:pPr>
            <w:r>
              <w:rPr>
                <w:rFonts w:ascii="Arial" w:cs="Arial" w:eastAsia="Arial" w:hAnsi="Arial"/>
                <w:b/>
                <w:bCs/>
                <w:color w:val="C00000"/>
                <w:sz w:val="22"/>
                <w:szCs w:val="22"/>
              </w:rPr>
              <w:t xml:space="preserve">Common Mistakes</w:t>
            </w:r>
          </w:p>
          <w:p>
            <w:pPr>
              <w:spacing w:before="40" w:after="40"/>
              <w:jc w:val="both"/>
            </w:pPr>
            <w:r>
              <w:rPr>
                <w:rFonts w:ascii="Arial" w:cs="Arial" w:eastAsia="Arial" w:hAnsi="Arial"/>
                <w:sz w:val="22"/>
                <w:szCs w:val="22"/>
              </w:rPr>
              <w:t xml:space="preserve">Students sometimes confuse outsourcing with simply importing a Python library (such as import math), which is better described as using a pre-developed module. True outsourcing involves engaging an external service or provider for a specific, identifiable component of the solution. Students should also consider security implications when outsourcing — particularly the management of API keys and the privacy of any data transmitted to external services.</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before="80" w:after="60"/>
            </w:pPr>
            <w:r>
              <w:rPr>
                <w:rFonts w:ascii="Arial" w:cs="Arial" w:eastAsia="Arial" w:hAnsi="Arial"/>
                <w:b/>
                <w:bCs/>
                <w:color w:val="375623"/>
                <w:sz w:val="22"/>
                <w:szCs w:val="22"/>
              </w:rPr>
              <w:t xml:space="preserve">Exam Tip</w:t>
            </w:r>
          </w:p>
          <w:p>
            <w:pPr>
              <w:spacing w:before="40" w:after="40"/>
              <w:jc w:val="both"/>
            </w:pPr>
            <w:r>
              <w:rPr>
                <w:rFonts w:ascii="Arial" w:cs="Arial" w:eastAsia="Arial" w:hAnsi="Arial"/>
                <w:sz w:val="22"/>
                <w:szCs w:val="22"/>
              </w:rPr>
              <w:t xml:space="preserve">In an exam response, ensure you distinguish outsourcing from general online research. Outsourcing involves delegating a functional component to an external provider. Reference the decision-making process: why was this component outsourced, what criteria guided the selection of the provider, and how was the integration verified?</w:t>
            </w:r>
          </w:p>
        </w:tc>
      </w:tr>
    </w:tbl>
    <w:p>
      <w:pPr>
        <w:spacing w:before="80" w:after="80"/>
      </w:pPr>
      <w:r>
        <w:t xml:space="preserve"/>
      </w:r>
    </w:p>
    <w:p>
      <w:pPr>
        <w:pStyle w:val="Heading1"/>
        <w:pBdr>
          <w:bottom w:val="single" w:color="2E75B6" w:sz="6" w:space="1"/>
        </w:pBdr>
        <w:shd w:fill="1F3864" w:val="clear"/>
        <w:spacing w:before="360" w:after="200"/>
      </w:pPr>
      <w:r>
        <w:rPr>
          <w:rFonts w:ascii="Arial" w:cs="Arial" w:eastAsia="Arial" w:hAnsi="Arial"/>
          <w:b/>
          <w:bCs/>
          <w:color w:val="FFFFFF"/>
          <w:sz w:val="32"/>
          <w:szCs w:val="32"/>
        </w:rPr>
        <w:t xml:space="preserve">Comparison of the Three Strategies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700"/>
        <w:gridCol w:w="1700"/>
        <w:gridCol w:w="2226"/>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before="80" w:after="80"/>
            </w:pPr>
            <w:r>
              <w:rPr>
                <w:rFonts w:ascii="Arial" w:cs="Arial" w:eastAsia="Arial" w:hAnsi="Arial"/>
                <w:b/>
                <w:bCs/>
                <w:color w:val="FFFFFF"/>
                <w:sz w:val="20"/>
                <w:szCs w:val="20"/>
              </w:rPr>
              <w:t xml:space="preserve">Strategy</w:t>
            </w:r>
          </w:p>
        </w:tc>
        <w:tc>
          <w:tcPr>
            <w:tcW w:type="dxa" w:w="1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before="80" w:after="80"/>
            </w:pPr>
            <w:r>
              <w:rPr>
                <w:rFonts w:ascii="Arial" w:cs="Arial" w:eastAsia="Arial" w:hAnsi="Arial"/>
                <w:b/>
                <w:bCs/>
                <w:color w:val="FFFFFF"/>
                <w:sz w:val="20"/>
                <w:szCs w:val="20"/>
              </w:rPr>
              <w:t xml:space="preserve">Best Used When</w:t>
            </w:r>
          </w:p>
        </w:tc>
        <w:tc>
          <w:tcPr>
            <w:tcW w:type="dxa" w:w="1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before="80" w:after="80"/>
            </w:pPr>
            <w:r>
              <w:rPr>
                <w:rFonts w:ascii="Arial" w:cs="Arial" w:eastAsia="Arial" w:hAnsi="Arial"/>
                <w:b/>
                <w:bCs/>
                <w:color w:val="FFFFFF"/>
                <w:sz w:val="20"/>
                <w:szCs w:val="20"/>
              </w:rPr>
              <w:t xml:space="preserve">Key Benefit</w:t>
            </w:r>
          </w:p>
        </w:tc>
        <w:tc>
          <w:tcPr>
            <w:tcW w:type="dxa" w:w="1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before="80" w:after="80"/>
            </w:pPr>
            <w:r>
              <w:rPr>
                <w:rFonts w:ascii="Arial" w:cs="Arial" w:eastAsia="Arial" w:hAnsi="Arial"/>
                <w:b/>
                <w:bCs/>
                <w:color w:val="FFFFFF"/>
                <w:sz w:val="20"/>
                <w:szCs w:val="20"/>
              </w:rPr>
              <w:t xml:space="preserve">Key Risk</w:t>
            </w:r>
          </w:p>
        </w:tc>
        <w:tc>
          <w:tcPr>
            <w:tcW w:type="dxa" w:w="2226"/>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before="80" w:after="80"/>
            </w:pPr>
            <w:r>
              <w:rPr>
                <w:rFonts w:ascii="Arial" w:cs="Arial" w:eastAsia="Arial" w:hAnsi="Arial"/>
                <w:b/>
                <w:bCs/>
                <w:color w:val="FFFFFF"/>
                <w:sz w:val="20"/>
                <w:szCs w:val="20"/>
              </w:rPr>
              <w:t xml:space="preserve">HSC Documentation Focus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60" w:after="60"/>
              <w:jc w:val="left"/>
            </w:pPr>
            <w:r>
              <w:rPr>
                <w:rFonts w:ascii="Arial" w:cs="Arial" w:eastAsia="Arial" w:hAnsi="Arial"/>
                <w:sz w:val="20"/>
                <w:szCs w:val="20"/>
              </w:rPr>
              <w:t xml:space="preserve">Looking online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60" w:after="60"/>
              <w:jc w:val="left"/>
            </w:pPr>
            <w:r>
              <w:rPr>
                <w:rFonts w:ascii="Arial" w:cs="Arial" w:eastAsia="Arial" w:hAnsi="Arial"/>
                <w:sz w:val="20"/>
                <w:szCs w:val="20"/>
              </w:rPr>
              <w:t xml:space="preserve">A specific error or missing knowledge is encountered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60" w:after="60"/>
              <w:jc w:val="left"/>
            </w:pPr>
            <w:r>
              <w:rPr>
                <w:rFonts w:ascii="Arial" w:cs="Arial" w:eastAsia="Arial" w:hAnsi="Arial"/>
                <w:sz w:val="20"/>
                <w:szCs w:val="20"/>
              </w:rPr>
              <w:t xml:space="preserve">Time-efficient; access to community-verified solutions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60" w:after="60"/>
              <w:jc w:val="left"/>
            </w:pPr>
            <w:r>
              <w:rPr>
                <w:rFonts w:ascii="Arial" w:cs="Arial" w:eastAsia="Arial" w:hAnsi="Arial"/>
                <w:sz w:val="20"/>
                <w:szCs w:val="20"/>
              </w:rPr>
              <w:t xml:space="preserve">Copying without understanding; licensing issues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60" w:after="60"/>
              <w:jc w:val="left"/>
            </w:pPr>
            <w:r>
              <w:rPr>
                <w:rFonts w:ascii="Arial" w:cs="Arial" w:eastAsia="Arial" w:hAnsi="Arial"/>
                <w:sz w:val="20"/>
                <w:szCs w:val="20"/>
              </w:rPr>
              <w:t xml:space="preserve">Source, adaptation, and understanding of the solution</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60" w:after="60"/>
              <w:jc w:val="left"/>
            </w:pPr>
            <w:r>
              <w:rPr>
                <w:rFonts w:ascii="Arial" w:cs="Arial" w:eastAsia="Arial" w:hAnsi="Arial"/>
                <w:sz w:val="20"/>
                <w:szCs w:val="20"/>
              </w:rPr>
              <w:t xml:space="preserve">Peer collaboration</w:t>
            </w:r>
          </w:p>
        </w:tc>
        <w:tc>
          <w:tcPr>
            <w:tcW w:type="dxa" w:w="19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60" w:after="60"/>
              <w:jc w:val="left"/>
            </w:pPr>
            <w:r>
              <w:rPr>
                <w:rFonts w:ascii="Arial" w:cs="Arial" w:eastAsia="Arial" w:hAnsi="Arial"/>
                <w:sz w:val="20"/>
                <w:szCs w:val="20"/>
              </w:rPr>
              <w:t xml:space="preserve">Logic errors, design decisions, or alternative approaches are needed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60" w:after="60"/>
              <w:jc w:val="left"/>
            </w:pPr>
            <w:r>
              <w:rPr>
                <w:rFonts w:ascii="Arial" w:cs="Arial" w:eastAsia="Arial" w:hAnsi="Arial"/>
                <w:sz w:val="20"/>
                <w:szCs w:val="20"/>
              </w:rPr>
              <w:t xml:space="preserve">Fresh perspective; mirrors industry code review</w:t>
            </w:r>
          </w:p>
        </w:tc>
        <w:tc>
          <w:tcPr>
            <w:tcW w:type="dxa" w:w="17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60" w:after="60"/>
              <w:jc w:val="left"/>
            </w:pPr>
            <w:r>
              <w:rPr>
                <w:rFonts w:ascii="Arial" w:cs="Arial" w:eastAsia="Arial" w:hAnsi="Arial"/>
                <w:sz w:val="20"/>
                <w:szCs w:val="20"/>
              </w:rPr>
              <w:t xml:space="preserve">Undocumented exchange; passive receipt of solution</w:t>
            </w:r>
          </w:p>
        </w:tc>
        <w:tc>
          <w:tcPr>
            <w:tcW w:type="dxa" w:w="2226"/>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60" w:after="60"/>
              <w:jc w:val="left"/>
            </w:pPr>
            <w:r>
              <w:rPr>
                <w:rFonts w:ascii="Arial" w:cs="Arial" w:eastAsia="Arial" w:hAnsi="Arial"/>
                <w:sz w:val="20"/>
                <w:szCs w:val="20"/>
              </w:rPr>
              <w:t xml:space="preserve">Record of the stop point, problem presented, and resolution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60" w:after="60"/>
              <w:jc w:val="left"/>
            </w:pPr>
            <w:r>
              <w:rPr>
                <w:rFonts w:ascii="Arial" w:cs="Arial" w:eastAsia="Arial" w:hAnsi="Arial"/>
                <w:sz w:val="20"/>
                <w:szCs w:val="20"/>
              </w:rPr>
              <w:t xml:space="preserve">Outsourcing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60" w:after="60"/>
              <w:jc w:val="left"/>
            </w:pPr>
            <w:r>
              <w:rPr>
                <w:rFonts w:ascii="Arial" w:cs="Arial" w:eastAsia="Arial" w:hAnsi="Arial"/>
                <w:sz w:val="20"/>
                <w:szCs w:val="20"/>
              </w:rPr>
              <w:t xml:space="preserve">A component requires specialist infrastructure or expertise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60" w:after="60"/>
              <w:jc w:val="left"/>
            </w:pPr>
            <w:r>
              <w:rPr>
                <w:rFonts w:ascii="Arial" w:cs="Arial" w:eastAsia="Arial" w:hAnsi="Arial"/>
                <w:sz w:val="20"/>
                <w:szCs w:val="20"/>
              </w:rPr>
              <w:t xml:space="preserve">Professional-grade functionality; realistic scope management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60" w:after="60"/>
              <w:jc w:val="left"/>
            </w:pPr>
            <w:r>
              <w:rPr>
                <w:rFonts w:ascii="Arial" w:cs="Arial" w:eastAsia="Arial" w:hAnsi="Arial"/>
                <w:sz w:val="20"/>
                <w:szCs w:val="20"/>
              </w:rPr>
              <w:t xml:space="preserve">Security risks; API dependency; cost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60" w:after="60"/>
              <w:jc w:val="left"/>
            </w:pPr>
            <w:r>
              <w:rPr>
                <w:rFonts w:ascii="Arial" w:cs="Arial" w:eastAsia="Arial" w:hAnsi="Arial"/>
                <w:sz w:val="20"/>
                <w:szCs w:val="20"/>
              </w:rPr>
              <w:t xml:space="preserve">Justification for outsourcing, provider selection, integration testing</w:t>
            </w:r>
          </w:p>
        </w:tc>
      </w:tr>
    </w:tbl>
    <w:p>
      <w:pPr>
        <w:spacing w:before="80" w:after="80"/>
      </w:pPr>
      <w:r>
        <w:t xml:space="preserve"/>
      </w:r>
    </w:p>
    <w:p>
      <w:pPr>
        <w:pStyle w:val="Heading1"/>
        <w:pBdr>
          <w:bottom w:val="single" w:color="2E75B6" w:sz="6" w:space="1"/>
        </w:pBdr>
        <w:shd w:fill="1F3864" w:val="clear"/>
        <w:spacing w:before="360" w:after="200"/>
      </w:pPr>
      <w:r>
        <w:rPr>
          <w:rFonts w:ascii="Arial" w:cs="Arial" w:eastAsia="Arial" w:hAnsi="Arial"/>
          <w:b/>
          <w:bCs/>
          <w:color w:val="FFFFFF"/>
          <w:sz w:val="32"/>
          <w:szCs w:val="32"/>
        </w:rPr>
        <w:t xml:space="preserve">HSC 6-Mark Model Response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before="80" w:after="60"/>
            </w:pPr>
            <w:r>
              <w:rPr>
                <w:rFonts w:ascii="Arial" w:cs="Arial" w:eastAsia="Arial" w:hAnsi="Arial"/>
                <w:b/>
                <w:bCs/>
                <w:color w:val="1F3864"/>
                <w:sz w:val="22"/>
                <w:szCs w:val="22"/>
              </w:rPr>
              <w:t xml:space="preserve">Examination Question</w:t>
            </w:r>
          </w:p>
          <w:p>
            <w:pPr>
              <w:spacing w:before="40" w:after="40"/>
              <w:jc w:val="both"/>
            </w:pPr>
            <w:r>
              <w:rPr>
                <w:rFonts w:ascii="Arial" w:cs="Arial" w:eastAsia="Arial" w:hAnsi="Arial"/>
                <w:sz w:val="22"/>
                <w:szCs w:val="22"/>
              </w:rPr>
              <w:t xml:space="preserve">Describe three strategies a software developer can use to respond to difficulties encountered during the development of a software engineering solution. In your response, refer to how each strategy would be applied and documented in a project folio. (6 marks)</w:t>
            </w:r>
          </w:p>
        </w:tc>
      </w:tr>
    </w:tbl>
    <w:p>
      <w:pPr>
        <w:spacing w:before="80" w:after="80"/>
      </w:pPr>
      <w:r>
        <w:t xml:space="preserve"/>
      </w:r>
    </w:p>
    <w:p>
      <w:pPr>
        <w:spacing w:before="80" w:after="80"/>
        <w:jc w:val="both"/>
      </w:pPr>
      <w:r>
        <w:rPr>
          <w:rFonts w:ascii="Arial" w:cs="Arial" w:eastAsia="Arial" w:hAnsi="Arial"/>
          <w:sz w:val="22"/>
          <w:szCs w:val="22"/>
        </w:rPr>
        <w:t xml:space="preserve">When difficulties arise during software development, three key strategies can be employed to resolve them effectively.</w:t>
      </w:r>
    </w:p>
    <w:p>
      <w:pPr>
        <w:spacing w:before="80" w:after="80"/>
      </w:pPr>
      <w:r>
        <w:t xml:space="preserve"/>
      </w:r>
    </w:p>
    <w:p>
      <w:pPr>
        <w:spacing w:before="80" w:after="80"/>
        <w:jc w:val="both"/>
      </w:pPr>
      <w:r>
        <w:rPr>
          <w:rFonts w:ascii="Arial" w:cs="Arial" w:eastAsia="Arial" w:hAnsi="Arial"/>
          <w:sz w:val="22"/>
          <w:szCs w:val="22"/>
        </w:rPr>
        <w:t xml:space="preserve">The first strategy is looking for a solution online. When a developer encounters an unfamiliar error or requires functionality they cannot implement independently, they can search platforms such as Stack Overflow, official language documentation, or third-party package repositories such as PyPI. For example, a student developing a Flask web application who encounters a database initialisation error can locate the correct use of db.create_all() through the official Flask-SQLAlchemy documentation. This approach saves development time by leveraging existing, community-verified solutions. In the project folio, the developer should document the problem encountered, the source consulted, the adaptation made, and a confirmation that the solution was understood before implementation.</w:t>
      </w:r>
    </w:p>
    <w:p>
      <w:pPr>
        <w:spacing w:before="80" w:after="80"/>
      </w:pPr>
      <w:r>
        <w:t xml:space="preserve"/>
      </w:r>
    </w:p>
    <w:p>
      <w:pPr>
        <w:spacing w:before="80" w:after="80"/>
        <w:jc w:val="both"/>
      </w:pPr>
      <w:r>
        <w:rPr>
          <w:rFonts w:ascii="Arial" w:cs="Arial" w:eastAsia="Arial" w:hAnsi="Arial"/>
          <w:sz w:val="22"/>
          <w:szCs w:val="22"/>
        </w:rPr>
        <w:t xml:space="preserve">The second strategy is collaboration with peers. At structured stop points in the development process, the developer presents their current problem to classmates, who may identify errors or propose alternative approaches that the original developer had not considered. This mirrors industry code review practices and is particularly effective for identifying logic errors that are difficult to spot when working in isolation. For instance, a peer reviewing a search function may identify a case-sensitivity bug that the developer overlooked. The project folio should document the nature of the stop point, the problem discussed, the feedback received, and the resulting change made to the code.</w:t>
      </w:r>
    </w:p>
    <w:p>
      <w:pPr>
        <w:spacing w:before="80" w:after="80"/>
      </w:pPr>
      <w:r>
        <w:t xml:space="preserve"/>
      </w:r>
    </w:p>
    <w:p>
      <w:pPr>
        <w:spacing w:before="80" w:after="80"/>
        <w:jc w:val="both"/>
      </w:pPr>
      <w:r>
        <w:rPr>
          <w:rFonts w:ascii="Arial" w:cs="Arial" w:eastAsia="Arial" w:hAnsi="Arial"/>
          <w:sz w:val="22"/>
          <w:szCs w:val="22"/>
        </w:rPr>
        <w:t xml:space="preserve">The third strategy is outsourcing. When a specific component of the solution requires specialist expertise or infrastructure that is beyond the developer's current capacity, a third-party service or API can be engaged to provide that functionality. For example, rather than configuring a mail server, a developer might integrate a service such as SendGrid to provide automated email notifications. This reflects professional practice, where development teams routinely outsource specialist components. The project folio should document the rationale for outsourcing, the provider selected, how the component was integrated and tested, and any security considerations addressed during implementation.</w:t>
      </w:r>
    </w:p>
    <w:p>
      <w:pPr>
        <w:spacing w:before="80" w:after="80"/>
      </w:pPr>
      <w:r>
        <w:t xml:space="preserve"/>
      </w:r>
    </w:p>
    <w:p>
      <w:pPr>
        <w:spacing w:before="160" w:after="80"/>
      </w:pPr>
      <w:r>
        <w:rPr>
          <w:rFonts w:ascii="Arial" w:cs="Arial" w:eastAsia="Arial" w:hAnsi="Arial"/>
          <w:i/>
          <w:iCs/>
          <w:color w:val="666666"/>
          <w:sz w:val="18"/>
          <w:szCs w:val="18"/>
        </w:rPr>
        <w:t xml:space="preserve">Syllabus outcome addressed: SE-12-09 — applies methods to manage and document the development of a software project.</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200"/>
    </w:pPr>
    <w:r>
      <w:rPr>
        <w:rFonts w:ascii="Arial" w:cs="Arial" w:eastAsia="Arial" w:hAnsi="Arial"/>
        <w:color w:val="888888"/>
        <w:sz w:val="16"/>
        <w:szCs w:val="16"/>
      </w:rPr>
      <w:t xml:space="preserve">NSW HSC Software Engineering 2022 Syllabus  |  Band 6 Teaching Resource</w:t>
    </w:r>
    <w:r>
      <w:rPr>
        <w:rFonts w:ascii="Arial" w:cs="Arial" w:eastAsia="Arial" w:hAnsi="Arial"/>
        <w:color w:val="888888"/>
        <w:sz w:val="16"/>
        <w:szCs w:val="16"/>
      </w:rPr>
      <w:t xml:space="preserve">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200"/>
    </w:pPr>
    <w:r>
      <w:rPr>
        <w:rFonts w:ascii="Arial" w:cs="Arial" w:eastAsia="Arial" w:hAnsi="Arial"/>
        <w:color w:val="888888"/>
        <w:sz w:val="18"/>
        <w:szCs w:val="18"/>
      </w:rPr>
      <w:t xml:space="preserve">NSW HSC Software Engineering  |  SE-12-09  |  Strategies to Respond to Difficulties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F3864"/>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498F1F8388FE47BDFE6C6EBC9FBC97" ma:contentTypeVersion="8" ma:contentTypeDescription="Create a new document." ma:contentTypeScope="" ma:versionID="1f3b1dab13d3253a1c8fd095506b1421">
  <xsd:schema xmlns:xsd="http://www.w3.org/2001/XMLSchema" xmlns:xs="http://www.w3.org/2001/XMLSchema" xmlns:p="http://schemas.microsoft.com/office/2006/metadata/properties" xmlns:ns2="a18c8287-e67d-4153-9c7a-3211f93ba17c" targetNamespace="http://schemas.microsoft.com/office/2006/metadata/properties" ma:root="true" ma:fieldsID="13bae5c7a6b8a47e5b1d0704e00d65a6" ns2:_="">
    <xsd:import namespace="a18c8287-e67d-4153-9c7a-3211f93ba1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c8287-e67d-4153-9c7a-3211f93ba1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187FF5-A8F0-4372-AA23-34DAE97AE9EF}"/>
</file>

<file path=customXml/itemProps2.xml><?xml version="1.0" encoding="utf-8"?>
<ds:datastoreItem xmlns:ds="http://schemas.openxmlformats.org/officeDocument/2006/customXml" ds:itemID="{E78B8B63-D5E1-4D5D-B583-F3E1E5B52A95}"/>
</file>

<file path=customXml/itemProps3.xml><?xml version="1.0" encoding="utf-8"?>
<ds:datastoreItem xmlns:ds="http://schemas.openxmlformats.org/officeDocument/2006/customXml" ds:itemID="{ECDD1D88-DCDD-494F-8214-7249264ACDC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Un-named</cp:lastModifiedBy>
  <cp:revision>1</cp:revision>
  <dcterms:created xsi:type="dcterms:W3CDTF">2026-02-23T22:03:27Z</dcterms:created>
  <dcterms:modified xsi:type="dcterms:W3CDTF">2026-02-23T22:03:27Z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0x01010071498F1F8388FE47BDFE6C6EBC9FBC97</vt:lpwstr>
  </property>
  <property fmtid="{D5CDD505-2E9C-101B-9397-08002B2CF9AE}" pid="3" name="Order">
    <vt:r8>81700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