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B495C" w14:textId="77777777" w:rsidR="005D5F1E" w:rsidRDefault="005D5F1E" w:rsidP="005D5F1E">
      <w:pPr>
        <w:spacing w:line="480" w:lineRule="auto"/>
        <w:jc w:val="center"/>
        <w:rPr>
          <w:rFonts w:ascii="Times New Roman" w:hAnsi="Times New Roman" w:cs="Times New Roman"/>
          <w:b/>
          <w:bCs/>
          <w:sz w:val="28"/>
          <w:szCs w:val="28"/>
        </w:rPr>
      </w:pPr>
      <w:bookmarkStart w:id="0" w:name="_Hlk201408879"/>
      <w:bookmarkEnd w:id="0"/>
    </w:p>
    <w:p w14:paraId="1DEA1B9A" w14:textId="77777777" w:rsidR="005D5F1E" w:rsidRDefault="005D5F1E" w:rsidP="005D5F1E">
      <w:pPr>
        <w:spacing w:line="480" w:lineRule="auto"/>
        <w:rPr>
          <w:rFonts w:ascii="Times New Roman" w:hAnsi="Times New Roman" w:cs="Times New Roman"/>
          <w:b/>
          <w:bCs/>
          <w:sz w:val="28"/>
          <w:szCs w:val="28"/>
        </w:rPr>
      </w:pPr>
    </w:p>
    <w:p w14:paraId="393199DE" w14:textId="77777777" w:rsidR="005D5F1E" w:rsidRDefault="005D5F1E" w:rsidP="005D5F1E">
      <w:pPr>
        <w:spacing w:line="480" w:lineRule="auto"/>
        <w:jc w:val="center"/>
        <w:rPr>
          <w:rFonts w:ascii="Times New Roman" w:hAnsi="Times New Roman" w:cs="Times New Roman"/>
          <w:b/>
          <w:bCs/>
          <w:sz w:val="28"/>
          <w:szCs w:val="28"/>
        </w:rPr>
      </w:pPr>
    </w:p>
    <w:p w14:paraId="3EE8B8F5" w14:textId="77777777" w:rsidR="005D5F1E" w:rsidRDefault="005D5F1E" w:rsidP="005D5F1E">
      <w:pPr>
        <w:spacing w:line="480" w:lineRule="auto"/>
        <w:jc w:val="center"/>
        <w:rPr>
          <w:rFonts w:ascii="Times New Roman" w:hAnsi="Times New Roman" w:cs="Times New Roman"/>
          <w:b/>
          <w:bCs/>
          <w:sz w:val="28"/>
          <w:szCs w:val="28"/>
        </w:rPr>
      </w:pPr>
    </w:p>
    <w:p w14:paraId="010C6AA5" w14:textId="77777777" w:rsidR="005D5F1E" w:rsidRPr="004C048E" w:rsidRDefault="005D5F1E" w:rsidP="005D5F1E">
      <w:pPr>
        <w:spacing w:line="480" w:lineRule="auto"/>
        <w:jc w:val="center"/>
        <w:rPr>
          <w:rFonts w:ascii="Times New Roman" w:hAnsi="Times New Roman" w:cs="Times New Roman"/>
          <w:b/>
          <w:bCs/>
          <w:sz w:val="28"/>
          <w:szCs w:val="28"/>
        </w:rPr>
      </w:pPr>
    </w:p>
    <w:p w14:paraId="5463F509" w14:textId="77777777" w:rsidR="005D5F1E" w:rsidRPr="004C048E" w:rsidRDefault="005D5F1E" w:rsidP="005D5F1E">
      <w:pPr>
        <w:spacing w:line="480" w:lineRule="auto"/>
        <w:jc w:val="center"/>
        <w:rPr>
          <w:rFonts w:ascii="Times New Roman" w:hAnsi="Times New Roman" w:cs="Times New Roman"/>
          <w:b/>
          <w:bCs/>
          <w:sz w:val="28"/>
          <w:szCs w:val="28"/>
        </w:rPr>
      </w:pPr>
      <w:r w:rsidRPr="004C048E">
        <w:rPr>
          <w:rFonts w:ascii="Times New Roman" w:hAnsi="Times New Roman" w:cs="Times New Roman"/>
          <w:b/>
          <w:bCs/>
          <w:sz w:val="28"/>
          <w:szCs w:val="28"/>
        </w:rPr>
        <w:t>Raj Shah</w:t>
      </w:r>
    </w:p>
    <w:p w14:paraId="19BC43D9" w14:textId="77777777" w:rsidR="005D5F1E" w:rsidRDefault="005D5F1E" w:rsidP="005D5F1E">
      <w:pPr>
        <w:spacing w:line="480" w:lineRule="auto"/>
        <w:jc w:val="center"/>
        <w:rPr>
          <w:rFonts w:ascii="Times New Roman" w:hAnsi="Times New Roman" w:cs="Times New Roman"/>
          <w:b/>
          <w:bCs/>
          <w:sz w:val="28"/>
          <w:szCs w:val="28"/>
        </w:rPr>
      </w:pPr>
      <w:r w:rsidRPr="004C048E">
        <w:rPr>
          <w:rFonts w:ascii="Times New Roman" w:hAnsi="Times New Roman" w:cs="Times New Roman"/>
          <w:b/>
          <w:bCs/>
          <w:sz w:val="28"/>
          <w:szCs w:val="28"/>
        </w:rPr>
        <w:t>School of Communication and Information</w:t>
      </w:r>
      <w:r>
        <w:rPr>
          <w:rFonts w:ascii="Times New Roman" w:hAnsi="Times New Roman" w:cs="Times New Roman"/>
          <w:b/>
          <w:bCs/>
          <w:sz w:val="28"/>
          <w:szCs w:val="28"/>
        </w:rPr>
        <w:br/>
      </w:r>
      <w:r w:rsidRPr="004C048E">
        <w:rPr>
          <w:rFonts w:ascii="Times New Roman" w:hAnsi="Times New Roman" w:cs="Times New Roman"/>
          <w:b/>
          <w:bCs/>
          <w:sz w:val="28"/>
          <w:szCs w:val="28"/>
        </w:rPr>
        <w:t xml:space="preserve"> Rutgers University–New Brunswick</w:t>
      </w:r>
      <w:r w:rsidRPr="004C048E">
        <w:rPr>
          <w:rFonts w:ascii="Times New Roman" w:hAnsi="Times New Roman" w:cs="Times New Roman"/>
          <w:b/>
          <w:bCs/>
          <w:sz w:val="28"/>
          <w:szCs w:val="28"/>
        </w:rPr>
        <w:br/>
        <w:t>Information Visualization Section 7 (</w:t>
      </w:r>
      <w:proofErr w:type="gramStart"/>
      <w:r w:rsidRPr="004C048E">
        <w:rPr>
          <w:rFonts w:ascii="Times New Roman" w:hAnsi="Times New Roman" w:cs="Times New Roman"/>
          <w:b/>
          <w:bCs/>
          <w:sz w:val="28"/>
          <w:szCs w:val="28"/>
        </w:rPr>
        <w:t>04:547:321:G</w:t>
      </w:r>
      <w:proofErr w:type="gramEnd"/>
      <w:r w:rsidRPr="004C048E">
        <w:rPr>
          <w:rFonts w:ascii="Times New Roman" w:hAnsi="Times New Roman" w:cs="Times New Roman"/>
          <w:b/>
          <w:bCs/>
          <w:sz w:val="28"/>
          <w:szCs w:val="28"/>
        </w:rPr>
        <w:t>7)</w:t>
      </w:r>
      <w:r w:rsidRPr="004C048E">
        <w:rPr>
          <w:rFonts w:ascii="Times New Roman" w:hAnsi="Times New Roman" w:cs="Times New Roman"/>
          <w:b/>
          <w:bCs/>
          <w:sz w:val="28"/>
          <w:szCs w:val="28"/>
        </w:rPr>
        <w:br/>
        <w:t>Professor: Jennifer Silvia Muller</w:t>
      </w:r>
      <w:r w:rsidRPr="004C048E">
        <w:rPr>
          <w:rFonts w:ascii="Times New Roman" w:hAnsi="Times New Roman" w:cs="Times New Roman"/>
          <w:b/>
          <w:bCs/>
          <w:sz w:val="28"/>
          <w:szCs w:val="28"/>
        </w:rPr>
        <w:br/>
        <w:t>June 18, 2025</w:t>
      </w:r>
    </w:p>
    <w:p w14:paraId="66839826" w14:textId="77777777" w:rsidR="005D5F1E" w:rsidRDefault="005D5F1E" w:rsidP="005D5F1E">
      <w:pPr>
        <w:spacing w:line="480" w:lineRule="auto"/>
        <w:jc w:val="center"/>
        <w:rPr>
          <w:rFonts w:ascii="Times New Roman" w:hAnsi="Times New Roman" w:cs="Times New Roman"/>
          <w:b/>
          <w:bCs/>
          <w:sz w:val="28"/>
          <w:szCs w:val="28"/>
        </w:rPr>
      </w:pPr>
    </w:p>
    <w:p w14:paraId="6170CC1C" w14:textId="77777777" w:rsidR="005D5F1E" w:rsidRDefault="005D5F1E" w:rsidP="005D5F1E">
      <w:pPr>
        <w:spacing w:line="480" w:lineRule="auto"/>
        <w:jc w:val="center"/>
        <w:rPr>
          <w:rFonts w:ascii="Times New Roman" w:hAnsi="Times New Roman" w:cs="Times New Roman"/>
          <w:b/>
          <w:bCs/>
          <w:sz w:val="28"/>
          <w:szCs w:val="28"/>
        </w:rPr>
      </w:pPr>
    </w:p>
    <w:p w14:paraId="3F533400" w14:textId="77777777" w:rsidR="005D5F1E" w:rsidRDefault="005D5F1E" w:rsidP="005D5F1E">
      <w:pPr>
        <w:spacing w:line="480" w:lineRule="auto"/>
        <w:jc w:val="center"/>
        <w:rPr>
          <w:rFonts w:ascii="Times New Roman" w:hAnsi="Times New Roman" w:cs="Times New Roman"/>
          <w:b/>
          <w:bCs/>
          <w:sz w:val="28"/>
          <w:szCs w:val="28"/>
        </w:rPr>
      </w:pPr>
    </w:p>
    <w:p w14:paraId="75FEB811" w14:textId="77777777" w:rsidR="005D5F1E" w:rsidRDefault="005D5F1E" w:rsidP="005D5F1E">
      <w:pPr>
        <w:spacing w:line="480" w:lineRule="auto"/>
        <w:jc w:val="center"/>
        <w:rPr>
          <w:rFonts w:ascii="Times New Roman" w:hAnsi="Times New Roman" w:cs="Times New Roman"/>
          <w:b/>
          <w:bCs/>
          <w:sz w:val="28"/>
          <w:szCs w:val="28"/>
        </w:rPr>
      </w:pPr>
    </w:p>
    <w:p w14:paraId="47E85CBC" w14:textId="77777777" w:rsidR="005D5F1E" w:rsidRDefault="005D5F1E" w:rsidP="005D5F1E">
      <w:pPr>
        <w:spacing w:line="480" w:lineRule="auto"/>
        <w:jc w:val="center"/>
        <w:rPr>
          <w:rFonts w:ascii="Times New Roman" w:hAnsi="Times New Roman" w:cs="Times New Roman"/>
          <w:b/>
          <w:bCs/>
          <w:sz w:val="28"/>
          <w:szCs w:val="28"/>
        </w:rPr>
      </w:pPr>
    </w:p>
    <w:p w14:paraId="5A4071B3" w14:textId="77777777" w:rsidR="005D5F1E" w:rsidRDefault="005D5F1E" w:rsidP="005D5F1E">
      <w:pPr>
        <w:spacing w:line="480" w:lineRule="auto"/>
      </w:pPr>
    </w:p>
    <w:p w14:paraId="339A58DF" w14:textId="77777777" w:rsidR="005D5F1E" w:rsidRPr="004C048E" w:rsidRDefault="005D5F1E" w:rsidP="005D5F1E">
      <w:pPr>
        <w:spacing w:line="480" w:lineRule="auto"/>
        <w:jc w:val="center"/>
        <w:rPr>
          <w:rFonts w:ascii="Times New Roman" w:hAnsi="Times New Roman" w:cs="Times New Roman"/>
          <w:b/>
          <w:bCs/>
          <w:sz w:val="28"/>
          <w:szCs w:val="28"/>
          <w:u w:val="single"/>
        </w:rPr>
      </w:pPr>
      <w:r w:rsidRPr="004C048E">
        <w:rPr>
          <w:rFonts w:ascii="Times New Roman" w:hAnsi="Times New Roman" w:cs="Times New Roman"/>
          <w:b/>
          <w:bCs/>
          <w:sz w:val="28"/>
          <w:szCs w:val="28"/>
          <w:u w:val="single"/>
        </w:rPr>
        <w:lastRenderedPageBreak/>
        <w:t>Critique and Redesign of “Visualizing the Size of Half a Million Dollar House in Every State</w:t>
      </w:r>
      <w:r>
        <w:rPr>
          <w:rFonts w:ascii="Times New Roman" w:hAnsi="Times New Roman" w:cs="Times New Roman"/>
          <w:b/>
          <w:bCs/>
          <w:sz w:val="28"/>
          <w:szCs w:val="28"/>
          <w:u w:val="single"/>
        </w:rPr>
        <w:t>”</w:t>
      </w:r>
    </w:p>
    <w:p w14:paraId="3B91F6B5" w14:textId="60493710" w:rsidR="005D5F1E" w:rsidRDefault="005D5F1E" w:rsidP="005D5F1E">
      <w:pPr>
        <w:spacing w:line="480" w:lineRule="auto"/>
        <w:ind w:firstLine="720"/>
        <w:rPr>
          <w:rFonts w:ascii="Times New Roman" w:hAnsi="Times New Roman" w:cs="Times New Roman"/>
          <w:noProof/>
        </w:rPr>
      </w:pPr>
      <w:r w:rsidRPr="005B4AE2">
        <w:rPr>
          <w:rFonts w:ascii="Times New Roman" w:hAnsi="Times New Roman" w:cs="Times New Roman"/>
        </w:rPr>
        <w:t xml:space="preserve">This project analyzes and improves the “How Much Square Footage Can $500K Buy?” housing affordability chart originally published by </w:t>
      </w:r>
      <w:r w:rsidRPr="005B4AE2">
        <w:rPr>
          <w:rFonts w:ascii="Times New Roman" w:hAnsi="Times New Roman" w:cs="Times New Roman"/>
          <w:i/>
          <w:iCs/>
        </w:rPr>
        <w:t>HowMuch.net</w:t>
      </w:r>
      <w:r w:rsidRPr="005B4AE2">
        <w:rPr>
          <w:rFonts w:ascii="Times New Roman" w:hAnsi="Times New Roman" w:cs="Times New Roman"/>
        </w:rPr>
        <w:t xml:space="preserve">. The chart aims to show how much house $500,000 can buy in each U.S. state, but its design introduces several issues that undermine its effectiveness. One of the most significant flaws lies in its use of color. As shown in </w:t>
      </w:r>
      <w:r w:rsidRPr="005B4AE2">
        <w:rPr>
          <w:rFonts w:ascii="Times New Roman" w:hAnsi="Times New Roman" w:cs="Times New Roman"/>
          <w:b/>
          <w:bCs/>
        </w:rPr>
        <w:t>Figure 1</w:t>
      </w:r>
      <w:r w:rsidRPr="005B4AE2">
        <w:rPr>
          <w:rFonts w:ascii="Times New Roman" w:hAnsi="Times New Roman" w:cs="Times New Roman"/>
        </w:rPr>
        <w:t>, the chart is bathed in hot pink and maroon, colors that carry no intuitive meaning. Color is a powerful tool in visual communication, and when misapplied, it can obscure more than it reveals. As Schwabish (2021) notes, “tiring fluorescent hues and perceptually ambiguous color schemes” should be replaced with gradients that enhance meaning, typically through dark-to-light or diverging color scales (p. 270). The pink gradient lacks any semantic link to affordability, forcing viewers to rely heavily on the numerical labels within each square. Ideally,</w:t>
      </w:r>
      <w:r w:rsidRPr="005D5F1E">
        <w:rPr>
          <w:rFonts w:ascii="Times New Roman" w:hAnsi="Times New Roman" w:cs="Times New Roman"/>
          <w:noProof/>
        </w:rPr>
        <w:t xml:space="preserve"> </w:t>
      </w:r>
      <w:r w:rsidRPr="005B4AE2">
        <w:rPr>
          <w:rFonts w:ascii="Times New Roman" w:hAnsi="Times New Roman" w:cs="Times New Roman"/>
          <w:noProof/>
        </w:rPr>
        <w:drawing>
          <wp:inline distT="0" distB="0" distL="0" distR="0" wp14:anchorId="3E87EC89" wp14:editId="6F47AFAF">
            <wp:extent cx="5425467" cy="3143250"/>
            <wp:effectExtent l="0" t="0" r="3810" b="0"/>
            <wp:docPr id="167877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7388"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431044" cy="3146481"/>
                    </a:xfrm>
                    <a:prstGeom prst="rect">
                      <a:avLst/>
                    </a:prstGeom>
                  </pic:spPr>
                </pic:pic>
              </a:graphicData>
            </a:graphic>
          </wp:inline>
        </w:drawing>
      </w:r>
    </w:p>
    <w:p w14:paraId="71DE2FA3" w14:textId="67681911" w:rsidR="005D5F1E" w:rsidRDefault="00AC4DE5" w:rsidP="00AC4DE5">
      <w:pPr>
        <w:jc w:val="center"/>
        <w:rPr>
          <w:rFonts w:ascii="Times New Roman" w:hAnsi="Times New Roman" w:cs="Times New Roman"/>
        </w:rPr>
      </w:pPr>
      <w:r w:rsidRPr="005B4AE2">
        <w:rPr>
          <w:rFonts w:ascii="Times New Roman" w:hAnsi="Times New Roman" w:cs="Times New Roman"/>
        </w:rPr>
        <w:t>F</w:t>
      </w:r>
      <w:r w:rsidRPr="005B4AE2">
        <w:rPr>
          <w:rFonts w:ascii="Times New Roman" w:hAnsi="Times New Roman" w:cs="Times New Roman"/>
          <w:b/>
          <w:bCs/>
        </w:rPr>
        <w:t>igure 1:</w:t>
      </w:r>
      <w:r w:rsidRPr="005B4AE2">
        <w:rPr>
          <w:rFonts w:ascii="Times New Roman" w:hAnsi="Times New Roman" w:cs="Times New Roman"/>
        </w:rPr>
        <w:t xml:space="preserve"> Original Visualization: Misleading color scheme and distorted geography make housing affordability hard to compare across states.</w:t>
      </w:r>
    </w:p>
    <w:p w14:paraId="735AB76C" w14:textId="4D8CCC62" w:rsidR="005D5F1E" w:rsidRDefault="005D5F1E" w:rsidP="005D5F1E">
      <w:pPr>
        <w:spacing w:line="480" w:lineRule="auto"/>
        <w:rPr>
          <w:rFonts w:ascii="Times New Roman" w:hAnsi="Times New Roman" w:cs="Times New Roman"/>
        </w:rPr>
      </w:pPr>
      <w:r w:rsidRPr="005B4AE2">
        <w:rPr>
          <w:rFonts w:ascii="Times New Roman" w:hAnsi="Times New Roman" w:cs="Times New Roman"/>
        </w:rPr>
        <w:lastRenderedPageBreak/>
        <w:t>color should guide the eye toward patterns and outliers—but here, it creates confusion. The legend reflects price per square foot, while the squares display square footage purchasable,</w:t>
      </w:r>
    </w:p>
    <w:p w14:paraId="4E06EC3A" w14:textId="5A18A3B1" w:rsidR="005D5F1E" w:rsidRDefault="005D5F1E" w:rsidP="005D5F1E">
      <w:pPr>
        <w:spacing w:line="480" w:lineRule="auto"/>
        <w:rPr>
          <w:rFonts w:ascii="Times New Roman" w:hAnsi="Times New Roman" w:cs="Times New Roman"/>
        </w:rPr>
      </w:pPr>
      <w:r w:rsidRPr="005B4AE2">
        <w:rPr>
          <w:rFonts w:ascii="Times New Roman" w:hAnsi="Times New Roman" w:cs="Times New Roman"/>
          <w:noProof/>
        </w:rPr>
        <w:drawing>
          <wp:anchor distT="0" distB="0" distL="114300" distR="114300" simplePos="0" relativeHeight="251661312" behindDoc="0" locked="0" layoutInCell="1" allowOverlap="1" wp14:anchorId="5E573A54" wp14:editId="7E4CB3AF">
            <wp:simplePos x="0" y="0"/>
            <wp:positionH relativeFrom="margin">
              <wp:align>center</wp:align>
            </wp:positionH>
            <wp:positionV relativeFrom="paragraph">
              <wp:posOffset>318135</wp:posOffset>
            </wp:positionV>
            <wp:extent cx="7185025" cy="4114800"/>
            <wp:effectExtent l="0" t="0" r="0" b="0"/>
            <wp:wrapTopAndBottom/>
            <wp:docPr id="182097443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74434" name="Picture 1" descr="A map of the united state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7185025" cy="4114800"/>
                    </a:xfrm>
                    <a:prstGeom prst="rect">
                      <a:avLst/>
                    </a:prstGeom>
                  </pic:spPr>
                </pic:pic>
              </a:graphicData>
            </a:graphic>
            <wp14:sizeRelH relativeFrom="margin">
              <wp14:pctWidth>0</wp14:pctWidth>
            </wp14:sizeRelH>
            <wp14:sizeRelV relativeFrom="margin">
              <wp14:pctHeight>0</wp14:pctHeight>
            </wp14:sizeRelV>
          </wp:anchor>
        </w:drawing>
      </w:r>
      <w:r w:rsidRPr="005B4AE2">
        <w:rPr>
          <w:rFonts w:ascii="Times New Roman" w:hAnsi="Times New Roman" w:cs="Times New Roman"/>
        </w:rPr>
        <w:t>creating a contradictory and misleading visual scale</w:t>
      </w:r>
      <w:r>
        <w:rPr>
          <w:rFonts w:ascii="Times New Roman" w:hAnsi="Times New Roman" w:cs="Times New Roman"/>
        </w:rPr>
        <w:t>.</w:t>
      </w:r>
    </w:p>
    <w:p w14:paraId="4F028C6D" w14:textId="77777777" w:rsidR="005D5F1E" w:rsidRDefault="005D5F1E" w:rsidP="005D5F1E">
      <w:pPr>
        <w:jc w:val="center"/>
        <w:rPr>
          <w:rFonts w:ascii="Times New Roman" w:hAnsi="Times New Roman" w:cs="Times New Roman"/>
        </w:rPr>
      </w:pPr>
      <w:r w:rsidRPr="00442359">
        <w:rPr>
          <w:rFonts w:ascii="Times New Roman" w:hAnsi="Times New Roman" w:cs="Times New Roman"/>
          <w:b/>
          <w:bCs/>
        </w:rPr>
        <w:t>Figure 2:</w:t>
      </w:r>
      <w:r w:rsidRPr="00442359">
        <w:rPr>
          <w:rFonts w:ascii="Times New Roman" w:hAnsi="Times New Roman" w:cs="Times New Roman"/>
        </w:rPr>
        <w:t xml:space="preserve"> How Much Space Can $500K Buy? Square Footage by State (Mainland U.S.)</w:t>
      </w:r>
    </w:p>
    <w:p w14:paraId="3097103D" w14:textId="77777777" w:rsidR="005D5F1E" w:rsidRDefault="005D5F1E" w:rsidP="005D5F1E">
      <w:pPr>
        <w:spacing w:line="480" w:lineRule="auto"/>
        <w:rPr>
          <w:rFonts w:ascii="Times New Roman" w:hAnsi="Times New Roman" w:cs="Times New Roman"/>
        </w:rPr>
      </w:pPr>
      <w:r>
        <w:rPr>
          <w:rFonts w:ascii="Times New Roman" w:hAnsi="Times New Roman" w:cs="Times New Roman"/>
        </w:rPr>
        <w:tab/>
      </w:r>
      <w:r w:rsidRPr="005B4AE2">
        <w:rPr>
          <w:rFonts w:ascii="Times New Roman" w:hAnsi="Times New Roman" w:cs="Times New Roman"/>
        </w:rPr>
        <w:t>To address these problems, I redesigned the visualization in Tableau using a diverging blue-to-orange color scale. In the new version (Figure 2), blue represents a lower price per square foot (greater affordability), while orange signals a higher price (less affordability). This strategy follows Schwabish’s (2021) advice to “start with gray” and build contrast to direct attention (p. 42). I also separated Alaska and Hawaii into their own frames (Figures 3 and 4) to fix geographic distortion in the original. These updates restore spatial accuracy and ensure fair state representation. As Tufte (2006) emphasizes, visualizations should clarify data, not merely</w:t>
      </w:r>
    </w:p>
    <w:p w14:paraId="7A4E6B0B" w14:textId="3D70EF3F" w:rsidR="005D5F1E" w:rsidRDefault="005D5F1E" w:rsidP="005D5F1E">
      <w:pPr>
        <w:spacing w:line="480" w:lineRule="auto"/>
        <w:rPr>
          <w:rFonts w:ascii="Times New Roman" w:hAnsi="Times New Roman" w:cs="Times New Roman"/>
        </w:rPr>
      </w:pPr>
      <w:r w:rsidRPr="005B4AE2">
        <w:rPr>
          <w:rFonts w:ascii="Times New Roman" w:hAnsi="Times New Roman" w:cs="Times New Roman"/>
        </w:rPr>
        <w:lastRenderedPageBreak/>
        <w:t>decorate it (p. 129), and Katz (2017) recommends diverging gradients to enable accurate numeric comparisons (p. 352). Together, these redesigns improve interpretability and trust, helping viewers more easily compare housing affordability across all 50 states.</w:t>
      </w:r>
    </w:p>
    <w:p w14:paraId="43F445E5" w14:textId="0D2A2BED" w:rsidR="00EB3C03" w:rsidRDefault="00EB3C03" w:rsidP="00EB3C03">
      <w:pPr>
        <w:spacing w:line="480" w:lineRule="auto"/>
        <w:jc w:val="center"/>
        <w:rPr>
          <w:rFonts w:ascii="Times New Roman" w:hAnsi="Times New Roman" w:cs="Times New Roman"/>
        </w:rPr>
      </w:pPr>
      <w:r w:rsidRPr="002B1B64">
        <w:rPr>
          <w:rFonts w:ascii="Times New Roman" w:hAnsi="Times New Roman" w:cs="Times New Roman"/>
          <w:noProof/>
        </w:rPr>
        <w:drawing>
          <wp:inline distT="0" distB="0" distL="0" distR="0" wp14:anchorId="25E3CC63" wp14:editId="31813718">
            <wp:extent cx="4739065" cy="2790825"/>
            <wp:effectExtent l="0" t="0" r="4445" b="0"/>
            <wp:docPr id="1275749281" name="Picture 1" descr="A map of the state of hawai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49281" name="Picture 1" descr="A map of the state of hawaii&#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745966" cy="2794889"/>
                    </a:xfrm>
                    <a:prstGeom prst="rect">
                      <a:avLst/>
                    </a:prstGeom>
                  </pic:spPr>
                </pic:pic>
              </a:graphicData>
            </a:graphic>
          </wp:inline>
        </w:drawing>
      </w:r>
    </w:p>
    <w:p w14:paraId="5810DD92" w14:textId="77777777" w:rsidR="00EB3C03" w:rsidRDefault="00EB3C03" w:rsidP="00EB3C03">
      <w:pPr>
        <w:jc w:val="center"/>
      </w:pPr>
      <w:r w:rsidRPr="007B0C9C">
        <w:rPr>
          <w:b/>
          <w:bCs/>
        </w:rPr>
        <w:t>Figure 3:</w:t>
      </w:r>
      <w:r w:rsidRPr="007B0C9C">
        <w:t xml:space="preserve"> </w:t>
      </w:r>
      <w:r w:rsidRPr="007B0C9C">
        <w:rPr>
          <w:i/>
          <w:iCs/>
        </w:rPr>
        <w:t>How Much Space Can $500K Buy? Square Footage in Hawaii</w:t>
      </w:r>
    </w:p>
    <w:p w14:paraId="38D82BB0" w14:textId="6E2CED90" w:rsidR="00EB3C03" w:rsidRDefault="00EB3C03" w:rsidP="00EB3C03">
      <w:pPr>
        <w:spacing w:line="480" w:lineRule="auto"/>
        <w:jc w:val="center"/>
        <w:rPr>
          <w:rFonts w:ascii="Times New Roman" w:hAnsi="Times New Roman" w:cs="Times New Roman"/>
        </w:rPr>
      </w:pPr>
      <w:r w:rsidRPr="002B1B64">
        <w:rPr>
          <w:rFonts w:ascii="Times New Roman" w:hAnsi="Times New Roman" w:cs="Times New Roman"/>
          <w:noProof/>
        </w:rPr>
        <w:drawing>
          <wp:inline distT="0" distB="0" distL="0" distR="0" wp14:anchorId="4CA299CF" wp14:editId="7AFBCD25">
            <wp:extent cx="4229328" cy="3048000"/>
            <wp:effectExtent l="0" t="0" r="0" b="0"/>
            <wp:docPr id="1575149294" name="Picture 1" descr="A map of the state of alask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49294" name="Picture 1" descr="A map of the state of alaska&#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235264" cy="3052278"/>
                    </a:xfrm>
                    <a:prstGeom prst="rect">
                      <a:avLst/>
                    </a:prstGeom>
                  </pic:spPr>
                </pic:pic>
              </a:graphicData>
            </a:graphic>
          </wp:inline>
        </w:drawing>
      </w:r>
    </w:p>
    <w:p w14:paraId="2A352F9D" w14:textId="77777777" w:rsidR="00EB3C03" w:rsidRDefault="00EB3C03" w:rsidP="00EB3C03">
      <w:pPr>
        <w:jc w:val="center"/>
      </w:pPr>
      <w:r w:rsidRPr="007B0C9C">
        <w:rPr>
          <w:b/>
          <w:bCs/>
        </w:rPr>
        <w:t>Figure 4:</w:t>
      </w:r>
      <w:r w:rsidRPr="007B0C9C">
        <w:t xml:space="preserve"> </w:t>
      </w:r>
      <w:r w:rsidRPr="007B0C9C">
        <w:rPr>
          <w:i/>
          <w:iCs/>
        </w:rPr>
        <w:t>How Much Space Can $500K Buy? Square Footage in Alaska</w:t>
      </w:r>
    </w:p>
    <w:p w14:paraId="5A0CCBD0" w14:textId="07366462" w:rsidR="00EB3C03" w:rsidRDefault="00EB3C03" w:rsidP="00EB3C03">
      <w:pPr>
        <w:spacing w:line="480" w:lineRule="auto"/>
        <w:ind w:firstLine="720"/>
        <w:rPr>
          <w:rFonts w:ascii="Times New Roman" w:hAnsi="Times New Roman" w:cs="Times New Roman"/>
        </w:rPr>
      </w:pPr>
      <w:r w:rsidRPr="000137DA">
        <w:rPr>
          <w:rFonts w:ascii="Times New Roman" w:hAnsi="Times New Roman" w:cs="Times New Roman"/>
        </w:rPr>
        <w:lastRenderedPageBreak/>
        <w:t>Another critical issue with the original visualization is its inconsistent and unclear</w:t>
      </w:r>
      <w:r>
        <w:rPr>
          <w:rFonts w:ascii="Times New Roman" w:hAnsi="Times New Roman" w:cs="Times New Roman"/>
        </w:rPr>
        <w:t xml:space="preserve"> </w:t>
      </w:r>
      <w:r w:rsidRPr="000137DA">
        <w:rPr>
          <w:rFonts w:ascii="Times New Roman" w:hAnsi="Times New Roman" w:cs="Times New Roman"/>
        </w:rPr>
        <w:t>labeling of numeric values. Although the chart aims to communicate how many square feet $500,000 can purchase in each U.S. state, it does so through a combination of box size and color shading, with numeric labels either missing, misaligned, or inconsistently applied. This ambiguity places an unnecessary burden on the viewer. Rather than presenting the data clearly and directly, the visualization forces the audience to rely on visual cues and estimations to</w:t>
      </w:r>
    </w:p>
    <w:p w14:paraId="777403D1" w14:textId="4CB5AEE9" w:rsidR="00EB3C03" w:rsidRDefault="00EB3C03" w:rsidP="005D5F1E">
      <w:pPr>
        <w:spacing w:line="480" w:lineRule="auto"/>
        <w:rPr>
          <w:rFonts w:ascii="Times New Roman" w:hAnsi="Times New Roman" w:cs="Times New Roman"/>
        </w:rPr>
      </w:pPr>
      <w:r w:rsidRPr="00907220">
        <w:rPr>
          <w:rFonts w:ascii="Times New Roman" w:hAnsi="Times New Roman" w:cs="Times New Roman"/>
          <w:noProof/>
        </w:rPr>
        <w:drawing>
          <wp:anchor distT="0" distB="0" distL="114300" distR="114300" simplePos="0" relativeHeight="251663360" behindDoc="0" locked="0" layoutInCell="1" allowOverlap="1" wp14:anchorId="50D7F1CF" wp14:editId="3A817DB2">
            <wp:simplePos x="0" y="0"/>
            <wp:positionH relativeFrom="margin">
              <wp:align>left</wp:align>
            </wp:positionH>
            <wp:positionV relativeFrom="paragraph">
              <wp:posOffset>52705</wp:posOffset>
            </wp:positionV>
            <wp:extent cx="4248785" cy="5343525"/>
            <wp:effectExtent l="0" t="0" r="0" b="9525"/>
            <wp:wrapSquare wrapText="bothSides"/>
            <wp:docPr id="1448167625"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7625" name="Picture 1" descr="A map of the united stat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248785" cy="5343525"/>
                    </a:xfrm>
                    <a:prstGeom prst="rect">
                      <a:avLst/>
                    </a:prstGeom>
                  </pic:spPr>
                </pic:pic>
              </a:graphicData>
            </a:graphic>
            <wp14:sizeRelH relativeFrom="margin">
              <wp14:pctWidth>0</wp14:pctWidth>
            </wp14:sizeRelH>
            <wp14:sizeRelV relativeFrom="margin">
              <wp14:pctHeight>0</wp14:pctHeight>
            </wp14:sizeRelV>
          </wp:anchor>
        </w:drawing>
      </w:r>
      <w:r w:rsidRPr="000137DA">
        <w:rPr>
          <w:rFonts w:ascii="Times New Roman" w:hAnsi="Times New Roman" w:cs="Times New Roman"/>
        </w:rPr>
        <w:t>interpret quantitative information. This compromises both accessibility and interpretability. Edward Tufte (2006) emphasized the importance of maximizing the “data-ink ratio,” where all graphical elements should serve the direct</w:t>
      </w:r>
    </w:p>
    <w:p w14:paraId="79ED46BF" w14:textId="1B063152" w:rsidR="00EB3C03" w:rsidRDefault="00EB3C03" w:rsidP="005D5F1E">
      <w:pPr>
        <w:spacing w:line="480" w:lineRule="auto"/>
        <w:rPr>
          <w:rFonts w:ascii="Times New Roman" w:hAnsi="Times New Roman" w:cs="Times New Roman"/>
        </w:rPr>
      </w:pPr>
      <w:r w:rsidRPr="000137DA">
        <w:rPr>
          <w:rFonts w:ascii="Times New Roman" w:hAnsi="Times New Roman" w:cs="Times New Roman"/>
        </w:rPr>
        <w:t xml:space="preserve">purpose of communicating data, rather than acting as visual clutter or distractions (p. 127). The chart’s inconsistent labeling fails to meet this standard, using space inefficiently while offering </w:t>
      </w:r>
      <w:r w:rsidRPr="000137DA">
        <w:rPr>
          <w:rFonts w:ascii="Times New Roman" w:hAnsi="Times New Roman" w:cs="Times New Roman"/>
        </w:rPr>
        <w:lastRenderedPageBreak/>
        <w:t>little concrete information. Additionally, Jonathan Schwabish (2021) recommends “redundant encoding,” which means using multiple modes—like color, shape, and text—to convey the same</w:t>
      </w:r>
      <w:r>
        <w:rPr>
          <w:rFonts w:ascii="Times New Roman" w:hAnsi="Times New Roman" w:cs="Times New Roman"/>
        </w:rPr>
        <w:t xml:space="preserve"> </w:t>
      </w:r>
      <w:r w:rsidRPr="000137DA">
        <w:rPr>
          <w:rFonts w:ascii="Times New Roman" w:hAnsi="Times New Roman" w:cs="Times New Roman"/>
        </w:rPr>
        <w:t>information, helping ensure clarity and accuracy (p. 38). In this case, the reliance on only color</w:t>
      </w:r>
      <w:r>
        <w:rPr>
          <w:rFonts w:ascii="Times New Roman" w:hAnsi="Times New Roman" w:cs="Times New Roman"/>
        </w:rPr>
        <w:t xml:space="preserve"> </w:t>
      </w:r>
      <w:r w:rsidRPr="000137DA">
        <w:rPr>
          <w:rFonts w:ascii="Times New Roman" w:hAnsi="Times New Roman" w:cs="Times New Roman"/>
        </w:rPr>
        <w:t>and area, without reliable numerical labeling, creates a visualization that lacks the necessary transparency for meaningful comparisons.</w:t>
      </w:r>
    </w:p>
    <w:p w14:paraId="5431C8C4" w14:textId="3604738A" w:rsidR="00EB3C03" w:rsidRDefault="00EB3C03" w:rsidP="00EB3C03">
      <w:pPr>
        <w:spacing w:line="480" w:lineRule="auto"/>
        <w:jc w:val="center"/>
        <w:rPr>
          <w:rFonts w:ascii="Times New Roman" w:hAnsi="Times New Roman" w:cs="Times New Roman"/>
        </w:rPr>
      </w:pPr>
      <w:r w:rsidRPr="00907220">
        <w:rPr>
          <w:rFonts w:ascii="Times New Roman" w:hAnsi="Times New Roman" w:cs="Times New Roman"/>
          <w:noProof/>
        </w:rPr>
        <w:drawing>
          <wp:inline distT="0" distB="0" distL="0" distR="0" wp14:anchorId="086225EA" wp14:editId="7A7AE535">
            <wp:extent cx="4820285" cy="4752975"/>
            <wp:effectExtent l="0" t="0" r="0" b="9525"/>
            <wp:docPr id="1643630799" name="Picture 1" descr="A map of the state of tex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30799" name="Picture 1" descr="A map of the state of texa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820285" cy="4752975"/>
                    </a:xfrm>
                    <a:prstGeom prst="rect">
                      <a:avLst/>
                    </a:prstGeom>
                  </pic:spPr>
                </pic:pic>
              </a:graphicData>
            </a:graphic>
          </wp:inline>
        </w:drawing>
      </w:r>
    </w:p>
    <w:p w14:paraId="592E1FA2" w14:textId="77777777" w:rsidR="00EB3C03" w:rsidRDefault="00EB3C03" w:rsidP="00EB3C03">
      <w:pPr>
        <w:jc w:val="center"/>
      </w:pPr>
      <w:r w:rsidRPr="007B0C9C">
        <w:rPr>
          <w:b/>
          <w:bCs/>
          <w:lang w:val="af-ZA"/>
        </w:rPr>
        <w:t xml:space="preserve">Figure </w:t>
      </w:r>
      <w:r w:rsidRPr="00AE7947">
        <w:rPr>
          <w:b/>
          <w:bCs/>
        </w:rPr>
        <w:t>6:</w:t>
      </w:r>
      <w:r w:rsidRPr="00AE7947">
        <w:t xml:space="preserve"> Square Footage and Price per Sq. Ft. in the West Region</w:t>
      </w:r>
    </w:p>
    <w:p w14:paraId="2F8B1FD1" w14:textId="42D05F2F" w:rsidR="00EB3C03" w:rsidRDefault="00EB3C03" w:rsidP="00EB3C03">
      <w:pPr>
        <w:spacing w:line="480" w:lineRule="auto"/>
        <w:rPr>
          <w:rFonts w:ascii="Times New Roman" w:hAnsi="Times New Roman" w:cs="Times New Roman"/>
        </w:rPr>
      </w:pPr>
      <w:r>
        <w:rPr>
          <w:rFonts w:ascii="Times New Roman" w:hAnsi="Times New Roman" w:cs="Times New Roman"/>
        </w:rPr>
        <w:tab/>
      </w:r>
      <w:r w:rsidRPr="000137DA">
        <w:rPr>
          <w:rFonts w:ascii="Times New Roman" w:hAnsi="Times New Roman" w:cs="Times New Roman"/>
        </w:rPr>
        <w:t xml:space="preserve">To directly address these labeling inconsistencies, I implemented a small multiples strategy with four region-specific maps based on U.S. Census regions — Midwest, South, West, and Northeast. This redesign reduces visual clutter while allowing uniform placement of labels. </w:t>
      </w:r>
      <w:r w:rsidRPr="000137DA">
        <w:rPr>
          <w:rFonts w:ascii="Times New Roman" w:hAnsi="Times New Roman" w:cs="Times New Roman"/>
        </w:rPr>
        <w:lastRenderedPageBreak/>
        <w:t>Each</w:t>
      </w:r>
      <w:r>
        <w:rPr>
          <w:rFonts w:ascii="Times New Roman" w:hAnsi="Times New Roman" w:cs="Times New Roman"/>
        </w:rPr>
        <w:t xml:space="preserve"> </w:t>
      </w:r>
      <w:r w:rsidRPr="000137DA">
        <w:rPr>
          <w:rFonts w:ascii="Times New Roman" w:hAnsi="Times New Roman" w:cs="Times New Roman"/>
        </w:rPr>
        <w:t>state is tagged with a two-line label that clearly shows both square footage and price per</w:t>
      </w:r>
      <w:r>
        <w:rPr>
          <w:rFonts w:ascii="Times New Roman" w:hAnsi="Times New Roman" w:cs="Times New Roman"/>
        </w:rPr>
        <w:t xml:space="preserve"> </w:t>
      </w:r>
      <w:r w:rsidRPr="000137DA">
        <w:rPr>
          <w:rFonts w:ascii="Times New Roman" w:hAnsi="Times New Roman" w:cs="Times New Roman"/>
        </w:rPr>
        <w:t xml:space="preserve">square foot, giving users a complete and immediate understanding of affordability. </w:t>
      </w:r>
      <w:r w:rsidRPr="00D82C23">
        <w:rPr>
          <w:rFonts w:ascii="Times New Roman" w:hAnsi="Times New Roman" w:cs="Times New Roman"/>
        </w:rPr>
        <w:t>For example, the Northeast (Fig. 5), West (Fig. 6), South (Fig. 7), and Midwest (Fig. 8) maps each provide clear and legible displays without overcrowding.</w:t>
      </w:r>
      <w:r>
        <w:rPr>
          <w:rFonts w:ascii="Times New Roman" w:hAnsi="Times New Roman" w:cs="Times New Roman"/>
        </w:rPr>
        <w:t xml:space="preserve"> </w:t>
      </w:r>
      <w:r w:rsidRPr="000137DA">
        <w:rPr>
          <w:rFonts w:ascii="Times New Roman" w:hAnsi="Times New Roman" w:cs="Times New Roman"/>
        </w:rPr>
        <w:t>By splitting the data</w:t>
      </w:r>
      <w:r>
        <w:rPr>
          <w:rFonts w:ascii="Times New Roman" w:hAnsi="Times New Roman" w:cs="Times New Roman"/>
        </w:rPr>
        <w:t xml:space="preserve"> </w:t>
      </w:r>
      <w:r w:rsidRPr="000137DA">
        <w:rPr>
          <w:rFonts w:ascii="Times New Roman" w:hAnsi="Times New Roman" w:cs="Times New Roman"/>
        </w:rPr>
        <w:t xml:space="preserve">into regional maps, I avoided the overlapping label problem seen in the national layout, which improved legibility </w:t>
      </w:r>
      <w:r>
        <w:rPr>
          <w:rFonts w:ascii="Times New Roman" w:hAnsi="Times New Roman" w:cs="Times New Roman"/>
        </w:rPr>
        <w:t xml:space="preserve"> </w:t>
      </w:r>
      <w:r w:rsidRPr="000137DA">
        <w:rPr>
          <w:rFonts w:ascii="Times New Roman" w:hAnsi="Times New Roman" w:cs="Times New Roman"/>
        </w:rPr>
        <w:t>without compromising scope. I also applied a consistent diverging color palette</w:t>
      </w:r>
      <w:r>
        <w:rPr>
          <w:rFonts w:ascii="Times New Roman" w:hAnsi="Times New Roman" w:cs="Times New Roman"/>
        </w:rPr>
        <w:t xml:space="preserve"> </w:t>
      </w:r>
      <w:r w:rsidRPr="000137DA">
        <w:rPr>
          <w:rFonts w:ascii="Times New Roman" w:hAnsi="Times New Roman" w:cs="Times New Roman"/>
        </w:rPr>
        <w:t>across all maps to reinforce the connection between value and color. This redesign not only enhances usability and trust but also more fully delivers on the chart’s original purpose</w:t>
      </w:r>
      <w:r>
        <w:rPr>
          <w:rFonts w:ascii="Times New Roman" w:hAnsi="Times New Roman" w:cs="Times New Roman"/>
        </w:rPr>
        <w:t xml:space="preserve"> </w:t>
      </w:r>
      <w:r w:rsidRPr="000137DA">
        <w:rPr>
          <w:rFonts w:ascii="Times New Roman" w:hAnsi="Times New Roman" w:cs="Times New Roman"/>
        </w:rPr>
        <w:t>enabling accurate, regionally informed comparison of home-buying power across the United States.</w:t>
      </w:r>
    </w:p>
    <w:p w14:paraId="7DC8FD9C" w14:textId="338DEDAC" w:rsidR="00EB3C03" w:rsidRDefault="00EB3C03" w:rsidP="00EB3C03">
      <w:pPr>
        <w:spacing w:line="480" w:lineRule="auto"/>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42E55AE" wp14:editId="1C666DA6">
                <wp:simplePos x="0" y="0"/>
                <wp:positionH relativeFrom="margin">
                  <wp:align>left</wp:align>
                </wp:positionH>
                <wp:positionV relativeFrom="paragraph">
                  <wp:posOffset>3792220</wp:posOffset>
                </wp:positionV>
                <wp:extent cx="3476625" cy="542925"/>
                <wp:effectExtent l="0" t="0" r="0" b="9525"/>
                <wp:wrapNone/>
                <wp:docPr id="1497171663" name="Text Box 2"/>
                <wp:cNvGraphicFramePr/>
                <a:graphic xmlns:a="http://schemas.openxmlformats.org/drawingml/2006/main">
                  <a:graphicData uri="http://schemas.microsoft.com/office/word/2010/wordprocessingShape">
                    <wps:wsp>
                      <wps:cNvSpPr txBox="1"/>
                      <wps:spPr>
                        <a:xfrm>
                          <a:off x="0" y="0"/>
                          <a:ext cx="3476625" cy="5429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DD3DFA" w14:textId="52F59764" w:rsidR="00EB3C03" w:rsidRDefault="00EB3C03">
                            <w:r w:rsidRPr="007B0C9C">
                              <w:rPr>
                                <w:b/>
                                <w:bCs/>
                                <w:lang w:val="af-ZA"/>
                              </w:rPr>
                              <w:t xml:space="preserve">Figure </w:t>
                            </w:r>
                            <w:r w:rsidRPr="00AE7947">
                              <w:rPr>
                                <w:b/>
                                <w:bCs/>
                              </w:rPr>
                              <w:t>7:</w:t>
                            </w:r>
                            <w:r w:rsidRPr="00AE7947">
                              <w:t xml:space="preserve"> Square Footage and Price per Sq. Ft. in the Southern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2E55AE" id="_x0000_t202" coordsize="21600,21600" o:spt="202" path="m,l,21600r21600,l21600,xe">
                <v:stroke joinstyle="miter"/>
                <v:path gradientshapeok="t" o:connecttype="rect"/>
              </v:shapetype>
              <v:shape id="Text Box 2" o:spid="_x0000_s1026" type="#_x0000_t202" style="position:absolute;left:0;text-align:left;margin-left:0;margin-top:298.6pt;width:273.75pt;height:42.7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vZgIAAC8FAAAOAAAAZHJzL2Uyb0RvYy54bWysVEtv2zAMvg/YfxB0X5xkSbsGdYosRYYB&#10;RVssHXpWZCkxJosapcTOfn0p2Xms26XDLjbFl8iPH3V901SG7RT6EmzOB70+Z8pKKEq7zvn3p8WH&#10;T5z5IGwhDFiV873y/Gb6/t117SZqCBswhUJGSayf1C7nmxDcJMu83KhK+B44ZcmoASsR6IjrrEBR&#10;U/bKZMN+/yKrAQuHIJX3pL1tjXya8mutZHjQ2qvATM6ptpC+mL6r+M2m12KyRuE2pezKEP9QRSVK&#10;S5ceU92KINgWyz9SVaVE8KBDT0KVgdalVKkH6mbQf9XNciOcSr0QON4dYfL/L6283y3dI7LQfIaG&#10;BhgBqZ2feFLGfhqNVfxTpYzsBOH+CJtqApOk/Di6vLgYjjmTZBuPhlckU5rsFO3Qhy8KKhaFnCON&#10;JaEldnc+tK4Hl3iZhUVpTBqNsb8pKGfUZKcSkxT2RkU/Y78pzcoiVRoVXuJ6NTfI2pETJ6mDw+BT&#10;MgqIjpoufGNsFxKjVWLaG+OPQel+sOEYX5UWMAGU9kDFBnaCGFz8SAOiwnXrf4CiBSBiEZpV081w&#10;BcWeRovQst47uSgJ/zvhw6NAojlhQasbHuijDdQ5h07ibAP462/66E/sIytnNa1Nzv3PrUDFmflq&#10;iZdXg9Eo7lk6jMaXQzrguWV1brHbag7U14AeCSeTGP2DOYgaoXqmDZ/FW8kkrKS7cx4O4jy0k6UX&#10;QqrZLDnRZjkR7uzSyZg6whvZ9dQ8C3QdBQOR9x4OCyYmr5jY+sZIC7NtAF0mmkaAW1Q74GkrE9G7&#10;FySu/fk5eZ3euekLAAAA//8DAFBLAwQUAAYACAAAACEATzIpS94AAAAIAQAADwAAAGRycy9kb3du&#10;cmV2LnhtbEyPzU7DMBCE70i8g7VI3KhN1DRtyKaqirhSUX4kbm68TSLidRS7TXh73BM9jmY0802x&#10;nmwnzjT41jHC40yBIK6cablG+Hh/eViC8EGz0Z1jQvglD+vy9qbQuXEjv9F5H2oRS9jnGqEJoc+l&#10;9FVDVvuZ64mjd3SD1SHKoZZm0GMst51MlFpIq1uOC43uadtQ9bM/WYTP1+P311zt6meb9qOblGS7&#10;koj3d9PmCUSgKfyH4YIf0aGMTAd3YuNFhxCPBIR0lSUgop3OsxTEAWGxTDKQZSGvD5R/AAAA//8D&#10;AFBLAQItABQABgAIAAAAIQC2gziS/gAAAOEBAAATAAAAAAAAAAAAAAAAAAAAAABbQ29udGVudF9U&#10;eXBlc10ueG1sUEsBAi0AFAAGAAgAAAAhADj9If/WAAAAlAEAAAsAAAAAAAAAAAAAAAAALwEAAF9y&#10;ZWxzLy5yZWxzUEsBAi0AFAAGAAgAAAAhADP4Iu9mAgAALwUAAA4AAAAAAAAAAAAAAAAALgIAAGRy&#10;cy9lMm9Eb2MueG1sUEsBAi0AFAAGAAgAAAAhAE8yKUveAAAACAEAAA8AAAAAAAAAAAAAAAAAwAQA&#10;AGRycy9kb3ducmV2LnhtbFBLBQYAAAAABAAEAPMAAADLBQAAAAA=&#10;" filled="f" stroked="f">
                <v:textbox>
                  <w:txbxContent>
                    <w:p w14:paraId="1EDD3DFA" w14:textId="52F59764" w:rsidR="00EB3C03" w:rsidRDefault="00EB3C03">
                      <w:r w:rsidRPr="007B0C9C">
                        <w:rPr>
                          <w:b/>
                          <w:bCs/>
                          <w:lang w:val="af-ZA"/>
                        </w:rPr>
                        <w:t xml:space="preserve">Figure </w:t>
                      </w:r>
                      <w:r w:rsidRPr="00AE7947">
                        <w:rPr>
                          <w:b/>
                          <w:bCs/>
                        </w:rPr>
                        <w:t>7:</w:t>
                      </w:r>
                      <w:r w:rsidRPr="00AE7947">
                        <w:t xml:space="preserve"> Square Footage and Price per Sq. Ft. in the Southern Region</w:t>
                      </w:r>
                    </w:p>
                  </w:txbxContent>
                </v:textbox>
                <w10:wrap anchorx="margin"/>
              </v:shape>
            </w:pict>
          </mc:Fallback>
        </mc:AlternateContent>
      </w:r>
      <w:r w:rsidRPr="00A90B2D">
        <w:rPr>
          <w:rFonts w:ascii="Times New Roman" w:hAnsi="Times New Roman" w:cs="Times New Roman"/>
          <w:noProof/>
        </w:rPr>
        <w:drawing>
          <wp:inline distT="0" distB="0" distL="0" distR="0" wp14:anchorId="5AF91119" wp14:editId="13ADBD1A">
            <wp:extent cx="4769485" cy="4749612"/>
            <wp:effectExtent l="0" t="0" r="0" b="0"/>
            <wp:docPr id="153209881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98814" name="Picture 1" descr="A map of the united states&#10;&#10;AI-generated content may be incorrect."/>
                    <pic:cNvPicPr/>
                  </pic:nvPicPr>
                  <pic:blipFill>
                    <a:blip r:embed="rId12"/>
                    <a:stretch>
                      <a:fillRect/>
                    </a:stretch>
                  </pic:blipFill>
                  <pic:spPr>
                    <a:xfrm>
                      <a:off x="0" y="0"/>
                      <a:ext cx="4800811" cy="4780808"/>
                    </a:xfrm>
                    <a:prstGeom prst="rect">
                      <a:avLst/>
                    </a:prstGeom>
                  </pic:spPr>
                </pic:pic>
              </a:graphicData>
            </a:graphic>
          </wp:inline>
        </w:drawing>
      </w:r>
    </w:p>
    <w:p w14:paraId="6617F876" w14:textId="40A3BED4" w:rsidR="00EB3C03" w:rsidRDefault="00EB3C03" w:rsidP="00EB3C03">
      <w:pPr>
        <w:spacing w:line="480" w:lineRule="auto"/>
        <w:jc w:val="center"/>
        <w:rPr>
          <w:rFonts w:ascii="Times New Roman" w:hAnsi="Times New Roman" w:cs="Times New Roman"/>
        </w:rPr>
      </w:pPr>
      <w:r w:rsidRPr="002B1B64">
        <w:rPr>
          <w:rFonts w:ascii="Times New Roman" w:hAnsi="Times New Roman" w:cs="Times New Roman"/>
          <w:noProof/>
        </w:rPr>
        <w:lastRenderedPageBreak/>
        <w:drawing>
          <wp:inline distT="0" distB="0" distL="0" distR="0" wp14:anchorId="5E4E9241" wp14:editId="46D8BEE0">
            <wp:extent cx="5724060" cy="7715250"/>
            <wp:effectExtent l="0" t="0" r="0" b="0"/>
            <wp:docPr id="794292899" name="Picture 1" descr="A graph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2899" name="Picture 1" descr="A graph of numbers and letters&#10;&#10;AI-generated content may be incorrect."/>
                    <pic:cNvPicPr/>
                  </pic:nvPicPr>
                  <pic:blipFill>
                    <a:blip r:embed="rId13"/>
                    <a:stretch>
                      <a:fillRect/>
                    </a:stretch>
                  </pic:blipFill>
                  <pic:spPr>
                    <a:xfrm>
                      <a:off x="0" y="0"/>
                      <a:ext cx="5726348" cy="7718334"/>
                    </a:xfrm>
                    <a:prstGeom prst="rect">
                      <a:avLst/>
                    </a:prstGeom>
                  </pic:spPr>
                </pic:pic>
              </a:graphicData>
            </a:graphic>
          </wp:inline>
        </w:drawing>
      </w:r>
    </w:p>
    <w:p w14:paraId="138CF159" w14:textId="77777777" w:rsidR="00EB3C03" w:rsidRDefault="00EB3C03" w:rsidP="00EB3C03">
      <w:pPr>
        <w:jc w:val="center"/>
      </w:pPr>
      <w:r w:rsidRPr="00606E66">
        <w:rPr>
          <w:b/>
          <w:bCs/>
        </w:rPr>
        <w:t>Figure 9</w:t>
      </w:r>
      <w:r>
        <w:rPr>
          <w:b/>
          <w:bCs/>
        </w:rPr>
        <w:t>:</w:t>
      </w:r>
      <w:r>
        <w:t xml:space="preserve"> Housing Affordability by State: Square Footage and Price per Sq.Ft. for $500K</w:t>
      </w:r>
    </w:p>
    <w:p w14:paraId="60FB5323" w14:textId="167A76A3" w:rsidR="00EB3C03" w:rsidRDefault="00EB3C03" w:rsidP="00EB3C03">
      <w:pPr>
        <w:spacing w:line="480" w:lineRule="auto"/>
        <w:ind w:firstLine="720"/>
        <w:rPr>
          <w:rFonts w:ascii="Times New Roman" w:hAnsi="Times New Roman" w:cs="Times New Roman"/>
        </w:rPr>
      </w:pPr>
      <w:r>
        <w:rPr>
          <w:rFonts w:ascii="Times New Roman" w:hAnsi="Times New Roman" w:cs="Times New Roman"/>
        </w:rPr>
        <w:lastRenderedPageBreak/>
        <w:tab/>
      </w:r>
      <w:r w:rsidRPr="002D01B0">
        <w:rPr>
          <w:rFonts w:ascii="Times New Roman" w:hAnsi="Times New Roman" w:cs="Times New Roman"/>
        </w:rPr>
        <w:t>A third major issue with the original visualization is its use of a square grid map that eliminates geographic context. Each U.S. state is represented as an identically sized pink square arranged in a rigid grid layout, which fails to reflect actual geographic positions, relative sizes, or regional groupings. While grid maps offer design balance and equal visual weight across states, they often result in a loss of geographic literacy. Viewers are unable to detect regional housing disparities—such as the contrast between high-cost coastal states like California and lower-cost Southern states like Mississippi—because the spatial cues that support such insights are missing. Tufte (1990) refers to this kind of oversimplification as the “Flatland” problem: when complex, multivariate data are reduced to two-dimensional representations that strip away meaningful structure (p. 15). The grid layout misleadingly flattens highly diverse housing markets—treating geographically and economically distinct states like New York and Wyoming as if they offer equivalent affordability, which they do not. This creates an inaccurate impression that all states are equal in cost and opportunity, undermining the purpose of a comparative map. Additionally, without a geographic reference frame, viewers cannot connect the data to broader spatial narratives such as urbanization, population density, or regional economic development. As Berinato (2023) argues, effective visualizations should prioritize “context first,” allowing viewers to ground abstract values in recognizable real-world structures (p. 41)</w:t>
      </w:r>
      <w:r w:rsidRPr="00801222">
        <w:rPr>
          <w:rFonts w:ascii="Times New Roman" w:hAnsi="Times New Roman" w:cs="Times New Roman"/>
        </w:rPr>
        <w:t>.</w:t>
      </w:r>
      <w:r w:rsidRPr="00D82C23">
        <w:rPr>
          <w:rFonts w:ascii="Times New Roman" w:hAnsi="Times New Roman" w:cs="Times New Roman"/>
        </w:rPr>
        <w:t xml:space="preserve"> </w:t>
      </w:r>
    </w:p>
    <w:p w14:paraId="24B13D4F" w14:textId="77777777" w:rsidR="00EB3C03" w:rsidRDefault="00EB3C03" w:rsidP="00EB3C03">
      <w:pPr>
        <w:spacing w:line="480" w:lineRule="auto"/>
        <w:ind w:firstLine="720"/>
        <w:rPr>
          <w:rFonts w:ascii="Times New Roman" w:hAnsi="Times New Roman" w:cs="Times New Roman"/>
        </w:rPr>
      </w:pPr>
      <w:r w:rsidRPr="00D93419">
        <w:rPr>
          <w:rFonts w:ascii="Times New Roman" w:hAnsi="Times New Roman" w:cs="Times New Roman"/>
        </w:rPr>
        <w:t xml:space="preserve">To resolve this issue, I adopted a dual-chart strategy in Tableau. First, I created a traditional filled map of the United States using a diverging orange-blue color scale to visualize how much square footage $500,000 can purchase in each state. This geographic approach reinforces spatial logic and allows users to quickly identify regional patterns. Second, I developed a horizontal bar chart that ranks all 50 states by square footage purchasable, sorted </w:t>
      </w:r>
      <w:r w:rsidRPr="00D93419">
        <w:rPr>
          <w:rFonts w:ascii="Times New Roman" w:hAnsi="Times New Roman" w:cs="Times New Roman"/>
        </w:rPr>
        <w:lastRenderedPageBreak/>
        <w:t>from least to most affordable. This chart complements the map by emphasizing precise rankings and comparative values. Together, the two visuals provide both context and clarity, enhancing the overall interpretability of the data. This approach aligns with Schwabish’s (2021) guidance to use “multiple graphs” for layered insights (p. 42).</w:t>
      </w:r>
      <w:r>
        <w:rPr>
          <w:rFonts w:ascii="Times New Roman" w:hAnsi="Times New Roman" w:cs="Times New Roman"/>
        </w:rPr>
        <w:t xml:space="preserve">  </w:t>
      </w:r>
    </w:p>
    <w:p w14:paraId="3E89C023" w14:textId="77777777" w:rsidR="00EB3C03" w:rsidRDefault="00EB3C03" w:rsidP="00EB3C03">
      <w:pPr>
        <w:spacing w:line="480" w:lineRule="auto"/>
        <w:ind w:firstLine="720"/>
        <w:rPr>
          <w:rFonts w:ascii="Times New Roman" w:hAnsi="Times New Roman" w:cs="Times New Roman"/>
        </w:rPr>
      </w:pPr>
      <w:r w:rsidRPr="00442359">
        <w:rPr>
          <w:rFonts w:ascii="Times New Roman" w:hAnsi="Times New Roman" w:cs="Times New Roman"/>
        </w:rPr>
        <w:t>In conclusion, by incorporating the principles of Tufte, Schwabish, and Berinato, the redesigned visualizations enhance clarity, spatial coherence, and trust, embodying the core values of ethical and effective data storytelling.</w:t>
      </w:r>
    </w:p>
    <w:p w14:paraId="48DC3BBD" w14:textId="459CE0A5" w:rsidR="00EB3C03" w:rsidRDefault="00EB3C03" w:rsidP="00EB3C03">
      <w:pPr>
        <w:spacing w:line="480" w:lineRule="auto"/>
        <w:rPr>
          <w:rFonts w:ascii="Times New Roman" w:hAnsi="Times New Roman" w:cs="Times New Roman"/>
        </w:rPr>
      </w:pPr>
    </w:p>
    <w:p w14:paraId="5C30E5B7" w14:textId="77777777" w:rsidR="00EB3C03" w:rsidRDefault="00EB3C03" w:rsidP="00EB3C03">
      <w:pPr>
        <w:spacing w:line="480" w:lineRule="auto"/>
        <w:rPr>
          <w:rFonts w:ascii="Times New Roman" w:hAnsi="Times New Roman" w:cs="Times New Roman"/>
        </w:rPr>
      </w:pPr>
    </w:p>
    <w:p w14:paraId="4D2B2D13" w14:textId="77777777" w:rsidR="00EB3C03" w:rsidRDefault="00EB3C03" w:rsidP="00EB3C03">
      <w:pPr>
        <w:spacing w:line="480" w:lineRule="auto"/>
        <w:rPr>
          <w:rFonts w:ascii="Times New Roman" w:hAnsi="Times New Roman" w:cs="Times New Roman"/>
        </w:rPr>
      </w:pPr>
    </w:p>
    <w:p w14:paraId="51EEE116" w14:textId="77777777" w:rsidR="00EB3C03" w:rsidRDefault="00EB3C03" w:rsidP="00EB3C03">
      <w:pPr>
        <w:spacing w:line="480" w:lineRule="auto"/>
        <w:rPr>
          <w:rFonts w:ascii="Times New Roman" w:hAnsi="Times New Roman" w:cs="Times New Roman"/>
        </w:rPr>
      </w:pPr>
    </w:p>
    <w:p w14:paraId="66AF45FA" w14:textId="77777777" w:rsidR="00EB3C03" w:rsidRDefault="00EB3C03" w:rsidP="00EB3C03">
      <w:pPr>
        <w:spacing w:line="480" w:lineRule="auto"/>
        <w:rPr>
          <w:rFonts w:ascii="Times New Roman" w:hAnsi="Times New Roman" w:cs="Times New Roman"/>
        </w:rPr>
      </w:pPr>
    </w:p>
    <w:p w14:paraId="79816C86" w14:textId="77777777" w:rsidR="00EB3C03" w:rsidRDefault="00EB3C03" w:rsidP="00EB3C03">
      <w:pPr>
        <w:spacing w:line="480" w:lineRule="auto"/>
        <w:rPr>
          <w:rFonts w:ascii="Times New Roman" w:hAnsi="Times New Roman" w:cs="Times New Roman"/>
        </w:rPr>
      </w:pPr>
    </w:p>
    <w:p w14:paraId="63BBDFEB" w14:textId="77777777" w:rsidR="00EB3C03" w:rsidRDefault="00EB3C03" w:rsidP="00EB3C03">
      <w:pPr>
        <w:spacing w:line="480" w:lineRule="auto"/>
        <w:rPr>
          <w:rFonts w:ascii="Times New Roman" w:hAnsi="Times New Roman" w:cs="Times New Roman"/>
        </w:rPr>
      </w:pPr>
    </w:p>
    <w:p w14:paraId="05E1F77E" w14:textId="77777777" w:rsidR="00EB3C03" w:rsidRDefault="00EB3C03" w:rsidP="00EB3C03">
      <w:pPr>
        <w:spacing w:line="480" w:lineRule="auto"/>
        <w:rPr>
          <w:rFonts w:ascii="Times New Roman" w:hAnsi="Times New Roman" w:cs="Times New Roman"/>
        </w:rPr>
      </w:pPr>
    </w:p>
    <w:p w14:paraId="622E2501" w14:textId="77777777" w:rsidR="00EB3C03" w:rsidRDefault="00EB3C03" w:rsidP="00EB3C03">
      <w:pPr>
        <w:spacing w:line="480" w:lineRule="auto"/>
        <w:rPr>
          <w:rFonts w:ascii="Times New Roman" w:hAnsi="Times New Roman" w:cs="Times New Roman"/>
        </w:rPr>
      </w:pPr>
    </w:p>
    <w:p w14:paraId="21E90C14" w14:textId="77777777" w:rsidR="00EB3C03" w:rsidRDefault="00EB3C03" w:rsidP="00EB3C03">
      <w:pPr>
        <w:spacing w:line="480" w:lineRule="auto"/>
        <w:rPr>
          <w:rFonts w:ascii="Times New Roman" w:hAnsi="Times New Roman" w:cs="Times New Roman"/>
        </w:rPr>
      </w:pPr>
    </w:p>
    <w:p w14:paraId="68F97FD8" w14:textId="77777777" w:rsidR="00EB3C03" w:rsidRDefault="00EB3C03" w:rsidP="00EB3C03">
      <w:pPr>
        <w:spacing w:line="480" w:lineRule="auto"/>
        <w:rPr>
          <w:rFonts w:ascii="Times New Roman" w:hAnsi="Times New Roman" w:cs="Times New Roman"/>
        </w:rPr>
      </w:pPr>
    </w:p>
    <w:p w14:paraId="2E530054" w14:textId="5D4BE573" w:rsidR="00EB3C03" w:rsidRDefault="00EB3C03" w:rsidP="00EB3C03">
      <w:pPr>
        <w:spacing w:line="480" w:lineRule="auto"/>
        <w:rPr>
          <w:rFonts w:ascii="Times New Roman" w:hAnsi="Times New Roman" w:cs="Times New Roman"/>
        </w:rPr>
      </w:pPr>
    </w:p>
    <w:p w14:paraId="43D816F7" w14:textId="77777777" w:rsidR="00EB3C03" w:rsidRPr="00D87831" w:rsidRDefault="00EB3C03" w:rsidP="00EB3C03">
      <w:pPr>
        <w:spacing w:line="480" w:lineRule="auto"/>
        <w:jc w:val="center"/>
        <w:rPr>
          <w:rFonts w:ascii="Times New Roman" w:hAnsi="Times New Roman" w:cs="Times New Roman"/>
        </w:rPr>
      </w:pPr>
      <w:r w:rsidRPr="004C048E">
        <w:rPr>
          <w:rFonts w:ascii="Times New Roman" w:hAnsi="Times New Roman" w:cs="Times New Roman"/>
          <w:b/>
          <w:bCs/>
          <w:sz w:val="28"/>
          <w:szCs w:val="28"/>
          <w:u w:val="single"/>
        </w:rPr>
        <w:lastRenderedPageBreak/>
        <w:t>References</w:t>
      </w:r>
    </w:p>
    <w:p w14:paraId="53F5CA7C" w14:textId="77777777" w:rsidR="00EB3C03" w:rsidRPr="004C048E" w:rsidRDefault="00EB3C03" w:rsidP="00EB3C03">
      <w:pPr>
        <w:spacing w:line="480" w:lineRule="auto"/>
        <w:rPr>
          <w:rFonts w:ascii="Times New Roman" w:hAnsi="Times New Roman" w:cs="Times New Roman"/>
        </w:rPr>
      </w:pPr>
      <w:r w:rsidRPr="004C048E">
        <w:rPr>
          <w:rFonts w:ascii="Times New Roman" w:hAnsi="Times New Roman" w:cs="Times New Roman"/>
        </w:rPr>
        <w:t xml:space="preserve">Berinato, S. (2023). </w:t>
      </w:r>
      <w:r w:rsidRPr="004C048E">
        <w:rPr>
          <w:rFonts w:ascii="Times New Roman" w:hAnsi="Times New Roman" w:cs="Times New Roman"/>
          <w:i/>
          <w:iCs/>
        </w:rPr>
        <w:t>Good Charts: The HBR Guide to Making Smarter, More Persuasive Data</w:t>
      </w:r>
      <w:r>
        <w:rPr>
          <w:rFonts w:ascii="Times New Roman" w:hAnsi="Times New Roman" w:cs="Times New Roman"/>
          <w:i/>
          <w:iCs/>
        </w:rPr>
        <w:tab/>
      </w:r>
      <w:r w:rsidRPr="004C048E">
        <w:rPr>
          <w:rFonts w:ascii="Times New Roman" w:hAnsi="Times New Roman" w:cs="Times New Roman"/>
          <w:i/>
          <w:iCs/>
        </w:rPr>
        <w:t>Visualizations</w:t>
      </w:r>
      <w:r w:rsidRPr="004C048E">
        <w:rPr>
          <w:rFonts w:ascii="Times New Roman" w:hAnsi="Times New Roman" w:cs="Times New Roman"/>
        </w:rPr>
        <w:t xml:space="preserve"> (Updated &amp; Expanded ed.). Harvard Business Review Press.</w:t>
      </w:r>
    </w:p>
    <w:p w14:paraId="1765DF33" w14:textId="77777777" w:rsidR="00EB3C03" w:rsidRPr="00326807" w:rsidRDefault="00EB3C03" w:rsidP="00EB3C03">
      <w:pPr>
        <w:spacing w:line="480" w:lineRule="auto"/>
      </w:pPr>
      <w:r w:rsidRPr="009453D5">
        <w:rPr>
          <w:rFonts w:ascii="Times New Roman" w:hAnsi="Times New Roman" w:cs="Times New Roman"/>
        </w:rPr>
        <w:t xml:space="preserve">HowMuch.net. (2020, March 23). </w:t>
      </w:r>
      <w:r w:rsidRPr="009453D5">
        <w:rPr>
          <w:rFonts w:ascii="Times New Roman" w:hAnsi="Times New Roman" w:cs="Times New Roman"/>
          <w:i/>
          <w:iCs/>
        </w:rPr>
        <w:t xml:space="preserve">How many square feet </w:t>
      </w:r>
      <w:proofErr w:type="gramStart"/>
      <w:r w:rsidRPr="009453D5">
        <w:rPr>
          <w:rFonts w:ascii="Times New Roman" w:hAnsi="Times New Roman" w:cs="Times New Roman"/>
          <w:i/>
          <w:iCs/>
        </w:rPr>
        <w:t>you can</w:t>
      </w:r>
      <w:proofErr w:type="gramEnd"/>
      <w:r w:rsidRPr="009453D5">
        <w:rPr>
          <w:rFonts w:ascii="Times New Roman" w:hAnsi="Times New Roman" w:cs="Times New Roman"/>
          <w:i/>
          <w:iCs/>
        </w:rPr>
        <w:t xml:space="preserve"> buy with $500k in each state</w:t>
      </w:r>
      <w:r w:rsidRPr="009453D5">
        <w:rPr>
          <w:rFonts w:ascii="Times New Roman" w:hAnsi="Times New Roman" w:cs="Times New Roman"/>
        </w:rPr>
        <w:t>.</w:t>
      </w:r>
      <w:r>
        <w:rPr>
          <w:rFonts w:ascii="Times New Roman" w:hAnsi="Times New Roman" w:cs="Times New Roman"/>
        </w:rPr>
        <w:tab/>
      </w:r>
      <w:hyperlink r:id="rId14" w:history="1">
        <w:r w:rsidRPr="006F36DA">
          <w:rPr>
            <w:rStyle w:val="Hyperlink"/>
            <w:rFonts w:ascii="Times New Roman" w:hAnsi="Times New Roman" w:cs="Times New Roman"/>
          </w:rPr>
          <w:t>https://howmuch.net/articles/how-many-sqft-you-can-buy-500k</w:t>
        </w:r>
      </w:hyperlink>
    </w:p>
    <w:p w14:paraId="3A306D70" w14:textId="77777777" w:rsidR="00EB3C03" w:rsidRPr="004C048E" w:rsidRDefault="00EB3C03" w:rsidP="00EB3C03">
      <w:pPr>
        <w:spacing w:line="480" w:lineRule="auto"/>
        <w:rPr>
          <w:rFonts w:ascii="Times New Roman" w:hAnsi="Times New Roman" w:cs="Times New Roman"/>
        </w:rPr>
      </w:pPr>
      <w:r w:rsidRPr="004C048E">
        <w:rPr>
          <w:rFonts w:ascii="Times New Roman" w:hAnsi="Times New Roman" w:cs="Times New Roman"/>
        </w:rPr>
        <w:t xml:space="preserve">Schwabish, J. (2021). </w:t>
      </w:r>
      <w:r w:rsidRPr="004C048E">
        <w:rPr>
          <w:rFonts w:ascii="Times New Roman" w:hAnsi="Times New Roman" w:cs="Times New Roman"/>
          <w:i/>
          <w:iCs/>
        </w:rPr>
        <w:t>Better Data Visualizations: A Guide for Scholars, Researchers, and Wonks</w:t>
      </w:r>
      <w:r w:rsidRPr="004C048E">
        <w:rPr>
          <w:rFonts w:ascii="Times New Roman" w:hAnsi="Times New Roman" w:cs="Times New Roman"/>
        </w:rPr>
        <w:t>.</w:t>
      </w:r>
      <w:r>
        <w:rPr>
          <w:rFonts w:ascii="Times New Roman" w:hAnsi="Times New Roman" w:cs="Times New Roman"/>
        </w:rPr>
        <w:tab/>
      </w:r>
      <w:r w:rsidRPr="004C048E">
        <w:rPr>
          <w:rFonts w:ascii="Times New Roman" w:hAnsi="Times New Roman" w:cs="Times New Roman"/>
        </w:rPr>
        <w:t xml:space="preserve">Columbia University Press. </w:t>
      </w:r>
      <w:hyperlink r:id="rId15" w:tgtFrame="_new" w:history="1">
        <w:r w:rsidRPr="004C048E">
          <w:rPr>
            <w:rStyle w:val="Hyperlink"/>
            <w:rFonts w:ascii="Times New Roman" w:hAnsi="Times New Roman" w:cs="Times New Roman"/>
          </w:rPr>
          <w:t>http://www.jstor.org/stable/10.7312/schw19310.5</w:t>
        </w:r>
      </w:hyperlink>
    </w:p>
    <w:p w14:paraId="6EE32738" w14:textId="77777777" w:rsidR="00EB3C03" w:rsidRPr="004C048E" w:rsidRDefault="00EB3C03" w:rsidP="00EB3C03">
      <w:pPr>
        <w:spacing w:line="480" w:lineRule="auto"/>
        <w:rPr>
          <w:rFonts w:ascii="Times New Roman" w:hAnsi="Times New Roman" w:cs="Times New Roman"/>
        </w:rPr>
      </w:pPr>
      <w:r w:rsidRPr="004C048E">
        <w:rPr>
          <w:rFonts w:ascii="Times New Roman" w:hAnsi="Times New Roman" w:cs="Times New Roman"/>
        </w:rPr>
        <w:t xml:space="preserve">Tufte, E. R. (2006). </w:t>
      </w:r>
      <w:r w:rsidRPr="004C048E">
        <w:rPr>
          <w:rFonts w:ascii="Times New Roman" w:hAnsi="Times New Roman" w:cs="Times New Roman"/>
          <w:i/>
          <w:iCs/>
        </w:rPr>
        <w:t>Beautiful Evidence</w:t>
      </w:r>
      <w:r w:rsidRPr="004C048E">
        <w:rPr>
          <w:rFonts w:ascii="Times New Roman" w:hAnsi="Times New Roman" w:cs="Times New Roman"/>
        </w:rPr>
        <w:t>. Graphics Press.</w:t>
      </w:r>
    </w:p>
    <w:p w14:paraId="1B647EC4" w14:textId="77777777" w:rsidR="00EB3C03" w:rsidRPr="004C048E" w:rsidRDefault="00EB3C03" w:rsidP="00EB3C03">
      <w:pPr>
        <w:spacing w:line="480" w:lineRule="auto"/>
        <w:rPr>
          <w:rFonts w:ascii="Times New Roman" w:hAnsi="Times New Roman" w:cs="Times New Roman"/>
        </w:rPr>
      </w:pPr>
      <w:r w:rsidRPr="004C048E">
        <w:rPr>
          <w:rFonts w:ascii="Times New Roman" w:hAnsi="Times New Roman" w:cs="Times New Roman"/>
        </w:rPr>
        <w:t xml:space="preserve">Tufte, E. R. (1990). </w:t>
      </w:r>
      <w:r w:rsidRPr="004C048E">
        <w:rPr>
          <w:rFonts w:ascii="Times New Roman" w:hAnsi="Times New Roman" w:cs="Times New Roman"/>
          <w:i/>
          <w:iCs/>
        </w:rPr>
        <w:t>Envisioning Information</w:t>
      </w:r>
      <w:r w:rsidRPr="004C048E">
        <w:rPr>
          <w:rFonts w:ascii="Times New Roman" w:hAnsi="Times New Roman" w:cs="Times New Roman"/>
        </w:rPr>
        <w:t>. Graphics Press.</w:t>
      </w:r>
    </w:p>
    <w:p w14:paraId="795FDC92" w14:textId="77777777" w:rsidR="00EB3C03" w:rsidRPr="00326807" w:rsidRDefault="00EB3C03" w:rsidP="00EB3C03">
      <w:pPr>
        <w:spacing w:line="480" w:lineRule="auto"/>
      </w:pPr>
    </w:p>
    <w:p w14:paraId="10CC4215" w14:textId="77777777" w:rsidR="00EB3C03" w:rsidRPr="00EB3C03" w:rsidRDefault="00EB3C03" w:rsidP="00EB3C03">
      <w:pPr>
        <w:spacing w:line="480" w:lineRule="auto"/>
        <w:rPr>
          <w:rFonts w:ascii="Times New Roman" w:hAnsi="Times New Roman" w:cs="Times New Roman"/>
        </w:rPr>
      </w:pPr>
    </w:p>
    <w:sectPr w:rsidR="00EB3C03" w:rsidRPr="00EB3C03">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B47AF" w14:textId="77777777" w:rsidR="00FE2226" w:rsidRDefault="00FE2226" w:rsidP="005D5F1E">
      <w:pPr>
        <w:spacing w:after="0" w:line="240" w:lineRule="auto"/>
      </w:pPr>
      <w:r>
        <w:separator/>
      </w:r>
    </w:p>
  </w:endnote>
  <w:endnote w:type="continuationSeparator" w:id="0">
    <w:p w14:paraId="71F685B0" w14:textId="77777777" w:rsidR="00FE2226" w:rsidRDefault="00FE2226" w:rsidP="005D5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20375" w14:textId="77777777" w:rsidR="00FE2226" w:rsidRDefault="00FE2226" w:rsidP="005D5F1E">
      <w:pPr>
        <w:spacing w:after="0" w:line="240" w:lineRule="auto"/>
      </w:pPr>
      <w:r>
        <w:separator/>
      </w:r>
    </w:p>
  </w:footnote>
  <w:footnote w:type="continuationSeparator" w:id="0">
    <w:p w14:paraId="17559853" w14:textId="77777777" w:rsidR="00FE2226" w:rsidRDefault="00FE2226" w:rsidP="005D5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EC8D0" w14:textId="28A8AA60" w:rsidR="005D5F1E" w:rsidRPr="005D5F1E" w:rsidRDefault="005D5F1E">
    <w:pPr>
      <w:pStyle w:val="Header"/>
      <w:jc w:val="right"/>
      <w:rPr>
        <w:rFonts w:ascii="Times New Roman" w:hAnsi="Times New Roman" w:cs="Times New Roman"/>
      </w:rPr>
    </w:pPr>
    <w:r w:rsidRPr="005D5F1E">
      <w:rPr>
        <w:rFonts w:ascii="Times New Roman" w:hAnsi="Times New Roman" w:cs="Times New Roman"/>
      </w:rPr>
      <w:t xml:space="preserve">Shah </w:t>
    </w:r>
    <w:sdt>
      <w:sdtPr>
        <w:rPr>
          <w:rFonts w:ascii="Times New Roman" w:hAnsi="Times New Roman" w:cs="Times New Roman"/>
        </w:rPr>
        <w:id w:val="-1628306561"/>
        <w:docPartObj>
          <w:docPartGallery w:val="Page Numbers (Top of Page)"/>
          <w:docPartUnique/>
        </w:docPartObj>
      </w:sdtPr>
      <w:sdtEndPr>
        <w:rPr>
          <w:noProof/>
        </w:rPr>
      </w:sdtEndPr>
      <w:sdtContent>
        <w:r w:rsidRPr="005D5F1E">
          <w:rPr>
            <w:rFonts w:ascii="Times New Roman" w:hAnsi="Times New Roman" w:cs="Times New Roman"/>
          </w:rPr>
          <w:fldChar w:fldCharType="begin"/>
        </w:r>
        <w:r w:rsidRPr="005D5F1E">
          <w:rPr>
            <w:rFonts w:ascii="Times New Roman" w:hAnsi="Times New Roman" w:cs="Times New Roman"/>
          </w:rPr>
          <w:instrText xml:space="preserve"> PAGE   \* MERGEFORMAT </w:instrText>
        </w:r>
        <w:r w:rsidRPr="005D5F1E">
          <w:rPr>
            <w:rFonts w:ascii="Times New Roman" w:hAnsi="Times New Roman" w:cs="Times New Roman"/>
          </w:rPr>
          <w:fldChar w:fldCharType="separate"/>
        </w:r>
        <w:r w:rsidRPr="005D5F1E">
          <w:rPr>
            <w:rFonts w:ascii="Times New Roman" w:hAnsi="Times New Roman" w:cs="Times New Roman"/>
            <w:noProof/>
          </w:rPr>
          <w:t>2</w:t>
        </w:r>
        <w:r w:rsidRPr="005D5F1E">
          <w:rPr>
            <w:rFonts w:ascii="Times New Roman" w:hAnsi="Times New Roman" w:cs="Times New Roman"/>
            <w:noProof/>
          </w:rPr>
          <w:fldChar w:fldCharType="end"/>
        </w:r>
      </w:sdtContent>
    </w:sdt>
  </w:p>
  <w:p w14:paraId="556D23C2" w14:textId="77777777" w:rsidR="005D5F1E" w:rsidRPr="005D5F1E" w:rsidRDefault="005D5F1E">
    <w:pPr>
      <w:pStyle w:val="Header"/>
      <w:rPr>
        <w:rFonts w:ascii="Times New Roman" w:hAnsi="Times New Roman" w:cs="Times New Roma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F1E"/>
    <w:rsid w:val="000C24C9"/>
    <w:rsid w:val="005D5F1E"/>
    <w:rsid w:val="00AC4DE5"/>
    <w:rsid w:val="00EB3C03"/>
    <w:rsid w:val="00FE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483F0"/>
  <w15:chartTrackingRefBased/>
  <w15:docId w15:val="{ECAB482E-7C04-47ED-82A9-7E86D64F0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F1E"/>
  </w:style>
  <w:style w:type="paragraph" w:styleId="Heading1">
    <w:name w:val="heading 1"/>
    <w:basedOn w:val="Normal"/>
    <w:next w:val="Normal"/>
    <w:link w:val="Heading1Char"/>
    <w:uiPriority w:val="9"/>
    <w:qFormat/>
    <w:rsid w:val="005D5F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5F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5F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5F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5F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5F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5F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5F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5F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F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5F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5F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5F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F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F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F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F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F1E"/>
    <w:rPr>
      <w:rFonts w:eastAsiaTheme="majorEastAsia" w:cstheme="majorBidi"/>
      <w:color w:val="272727" w:themeColor="text1" w:themeTint="D8"/>
    </w:rPr>
  </w:style>
  <w:style w:type="paragraph" w:styleId="Title">
    <w:name w:val="Title"/>
    <w:basedOn w:val="Normal"/>
    <w:next w:val="Normal"/>
    <w:link w:val="TitleChar"/>
    <w:uiPriority w:val="10"/>
    <w:qFormat/>
    <w:rsid w:val="005D5F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F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F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5F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5F1E"/>
    <w:pPr>
      <w:spacing w:before="160"/>
      <w:jc w:val="center"/>
    </w:pPr>
    <w:rPr>
      <w:i/>
      <w:iCs/>
      <w:color w:val="404040" w:themeColor="text1" w:themeTint="BF"/>
    </w:rPr>
  </w:style>
  <w:style w:type="character" w:customStyle="1" w:styleId="QuoteChar">
    <w:name w:val="Quote Char"/>
    <w:basedOn w:val="DefaultParagraphFont"/>
    <w:link w:val="Quote"/>
    <w:uiPriority w:val="29"/>
    <w:rsid w:val="005D5F1E"/>
    <w:rPr>
      <w:i/>
      <w:iCs/>
      <w:color w:val="404040" w:themeColor="text1" w:themeTint="BF"/>
    </w:rPr>
  </w:style>
  <w:style w:type="paragraph" w:styleId="ListParagraph">
    <w:name w:val="List Paragraph"/>
    <w:basedOn w:val="Normal"/>
    <w:uiPriority w:val="34"/>
    <w:qFormat/>
    <w:rsid w:val="005D5F1E"/>
    <w:pPr>
      <w:ind w:left="720"/>
      <w:contextualSpacing/>
    </w:pPr>
  </w:style>
  <w:style w:type="character" w:styleId="IntenseEmphasis">
    <w:name w:val="Intense Emphasis"/>
    <w:basedOn w:val="DefaultParagraphFont"/>
    <w:uiPriority w:val="21"/>
    <w:qFormat/>
    <w:rsid w:val="005D5F1E"/>
    <w:rPr>
      <w:i/>
      <w:iCs/>
      <w:color w:val="0F4761" w:themeColor="accent1" w:themeShade="BF"/>
    </w:rPr>
  </w:style>
  <w:style w:type="paragraph" w:styleId="IntenseQuote">
    <w:name w:val="Intense Quote"/>
    <w:basedOn w:val="Normal"/>
    <w:next w:val="Normal"/>
    <w:link w:val="IntenseQuoteChar"/>
    <w:uiPriority w:val="30"/>
    <w:qFormat/>
    <w:rsid w:val="005D5F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5F1E"/>
    <w:rPr>
      <w:i/>
      <w:iCs/>
      <w:color w:val="0F4761" w:themeColor="accent1" w:themeShade="BF"/>
    </w:rPr>
  </w:style>
  <w:style w:type="character" w:styleId="IntenseReference">
    <w:name w:val="Intense Reference"/>
    <w:basedOn w:val="DefaultParagraphFont"/>
    <w:uiPriority w:val="32"/>
    <w:qFormat/>
    <w:rsid w:val="005D5F1E"/>
    <w:rPr>
      <w:b/>
      <w:bCs/>
      <w:smallCaps/>
      <w:color w:val="0F4761" w:themeColor="accent1" w:themeShade="BF"/>
      <w:spacing w:val="5"/>
    </w:rPr>
  </w:style>
  <w:style w:type="paragraph" w:styleId="Header">
    <w:name w:val="header"/>
    <w:basedOn w:val="Normal"/>
    <w:link w:val="HeaderChar"/>
    <w:uiPriority w:val="99"/>
    <w:unhideWhenUsed/>
    <w:rsid w:val="005D5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F1E"/>
  </w:style>
  <w:style w:type="paragraph" w:styleId="Footer">
    <w:name w:val="footer"/>
    <w:basedOn w:val="Normal"/>
    <w:link w:val="FooterChar"/>
    <w:uiPriority w:val="99"/>
    <w:unhideWhenUsed/>
    <w:rsid w:val="005D5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F1E"/>
  </w:style>
  <w:style w:type="character" w:styleId="Hyperlink">
    <w:name w:val="Hyperlink"/>
    <w:basedOn w:val="DefaultParagraphFont"/>
    <w:uiPriority w:val="99"/>
    <w:unhideWhenUsed/>
    <w:rsid w:val="00EB3C0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www.jstor.org/stable/10.7312/schw19310.5"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howmuch.net/articles/how-many-sqft-you-can-buy-500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11</Pages>
  <Words>1314</Words>
  <Characters>7496</Characters>
  <Application>Microsoft Office Word</Application>
  <DocSecurity>0</DocSecurity>
  <Lines>62</Lines>
  <Paragraphs>17</Paragraphs>
  <ScaleCrop>false</ScaleCrop>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Shah</dc:creator>
  <cp:keywords/>
  <dc:description/>
  <cp:lastModifiedBy>Raj Shah</cp:lastModifiedBy>
  <cp:revision>5</cp:revision>
  <dcterms:created xsi:type="dcterms:W3CDTF">2025-06-23T02:15:00Z</dcterms:created>
  <dcterms:modified xsi:type="dcterms:W3CDTF">2025-06-23T02:35:00Z</dcterms:modified>
</cp:coreProperties>
</file>