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i w:val="0"/>
          <w:color w:val="0D9488"/>
          <w:sz w:val="20"/>
        </w:rPr>
        <w:t>IMPACT ASSESSMENT REPORT</w:t>
      </w:r>
    </w:p>
    <w:p>
      <w:pPr>
        <w:spacing w:after="80"/>
      </w:pPr>
      <w:r>
        <w:rPr>
          <w:rFonts w:ascii="Calibri" w:hAnsi="Calibri"/>
          <w:b/>
          <w:i w:val="0"/>
          <w:color w:val="063B49"/>
          <w:sz w:val="54"/>
        </w:rPr>
        <w:t>AquaSave AI</w:t>
      </w:r>
    </w:p>
    <w:p>
      <w:pPr>
        <w:spacing w:after="360"/>
      </w:pPr>
      <w:r>
        <w:rPr>
          <w:rFonts w:ascii="Calibri" w:hAnsi="Calibri"/>
          <w:b w:val="0"/>
          <w:i w:val="0"/>
          <w:color w:val="60767B"/>
          <w:sz w:val="26"/>
        </w:rPr>
        <w:t>A lightweight water-wastage detection and conservation simulator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340"/>
            <w:vAlign w:val="center"/>
            <w:shd w:fill="D9F5ED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i w:val="0"/>
                <w:color w:val="063B49"/>
                <w:sz w:val="34"/>
              </w:rPr>
              <w:t>79.1 L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60767B"/>
                <w:sz w:val="17"/>
              </w:rPr>
              <w:t>potential waste in 14 days</w:t>
            </w:r>
          </w:p>
        </w:tc>
        <w:tc>
          <w:tcPr>
            <w:tcW w:type="dxa" w:w="2340"/>
            <w:vAlign w:val="center"/>
            <w:shd w:fill="D9F5ED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i w:val="0"/>
                <w:color w:val="063B49"/>
                <w:sz w:val="34"/>
              </w:rPr>
              <w:t>169.4 L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60767B"/>
                <w:sz w:val="17"/>
              </w:rPr>
              <w:t>projected monthly water saving</w:t>
            </w:r>
          </w:p>
        </w:tc>
        <w:tc>
          <w:tcPr>
            <w:tcW w:type="dxa" w:w="2340"/>
            <w:vAlign w:val="center"/>
            <w:shd w:fill="D9F5ED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i w:val="0"/>
                <w:color w:val="063B49"/>
                <w:sz w:val="34"/>
              </w:rPr>
              <w:t>Rs 5.08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60767B"/>
                <w:sz w:val="17"/>
              </w:rPr>
              <w:t>projected monthly cost saving</w:t>
            </w:r>
          </w:p>
        </w:tc>
        <w:tc>
          <w:tcPr>
            <w:tcW w:type="dxa" w:w="2340"/>
            <w:vAlign w:val="center"/>
            <w:shd w:fill="D9F5ED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i w:val="0"/>
                <w:color w:val="063B49"/>
                <w:sz w:val="34"/>
              </w:rPr>
              <w:t>0.059 kg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60767B"/>
                <w:sz w:val="17"/>
              </w:rPr>
              <w:t>projected monthly CO2 avoided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i w:val="0"/>
          <w:color w:val="0D9488"/>
          <w:sz w:val="32"/>
        </w:rPr>
        <w:t>1. Executive summary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063B49"/>
          <w:sz w:val="22"/>
        </w:rPr>
        <w:t>AquaSave AI analysed 336 hourly water-use records for a simulated four-person household. It identified two actionable patterns: sustained overnight flow that may indicate a leak and a single period of unusually high garden use. The prototype converts these alerts into understandable actions and estimated sustainability impact.</w:t>
      </w:r>
    </w:p>
    <w:p>
      <w:pPr>
        <w:spacing w:before="280" w:after="120"/>
      </w:pPr>
      <w:r>
        <w:rPr>
          <w:rFonts w:ascii="Calibri" w:hAnsi="Calibri"/>
          <w:b/>
          <w:i w:val="0"/>
          <w:color w:val="0D9488"/>
          <w:sz w:val="32"/>
        </w:rPr>
        <w:t>2. What the prototype detected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850"/>
            <w:vAlign w:val="center"/>
            <w:shd w:fill="063B4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Detected pattern</w:t>
            </w:r>
          </w:p>
        </w:tc>
        <w:tc>
          <w:tcPr>
            <w:tcW w:type="dxa" w:w="1050"/>
            <w:vAlign w:val="center"/>
            <w:shd w:fill="063B4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Priority</w:t>
            </w:r>
          </w:p>
        </w:tc>
        <w:tc>
          <w:tcPr>
            <w:tcW w:type="dxa" w:w="3260"/>
            <w:vAlign w:val="center"/>
            <w:shd w:fill="063B4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When</w:t>
            </w:r>
          </w:p>
        </w:tc>
        <w:tc>
          <w:tcPr>
            <w:tcW w:type="dxa" w:w="2200"/>
            <w:vAlign w:val="center"/>
            <w:shd w:fill="063B4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Potential waste</w:t>
            </w:r>
          </w:p>
        </w:tc>
      </w:tr>
      <w:tr>
        <w:tc>
          <w:tcPr>
            <w:tcW w:type="dxa" w:w="2484"/>
            <w:shd w:fill="F2F7F6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63B49"/>
                <w:sz w:val="19"/>
              </w:rPr>
              <w:t>Possible continuous leak</w:t>
            </w:r>
          </w:p>
        </w:tc>
        <w:tc>
          <w:tcPr>
            <w:tcW w:type="dxa" w:w="2484"/>
            <w:shd w:fill="F2F7F6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63B49"/>
                <w:sz w:val="19"/>
              </w:rPr>
              <w:t>High</w:t>
            </w:r>
          </w:p>
        </w:tc>
        <w:tc>
          <w:tcPr>
            <w:tcW w:type="dxa" w:w="2484"/>
            <w:shd w:fill="F2F7F6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63B49"/>
                <w:sz w:val="19"/>
              </w:rPr>
              <w:t>2026-07-06 00:00 to 2026-07-06 05:00</w:t>
            </w:r>
          </w:p>
        </w:tc>
        <w:tc>
          <w:tcPr>
            <w:tcW w:type="dxa" w:w="2484"/>
            <w:shd w:fill="F2F7F6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63B49"/>
                <w:sz w:val="19"/>
              </w:rPr>
              <w:t>62.20 L</w:t>
            </w:r>
          </w:p>
        </w:tc>
      </w:tr>
      <w:tr>
        <w:tc>
          <w:tcPr>
            <w:tcW w:type="dxa" w:w="2484"/>
            <w:shd w:fill="F2F7F6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63B49"/>
                <w:sz w:val="19"/>
              </w:rPr>
              <w:t>Unusually high one-hour use</w:t>
            </w:r>
          </w:p>
        </w:tc>
        <w:tc>
          <w:tcPr>
            <w:tcW w:type="dxa" w:w="2484"/>
            <w:shd w:fill="F2F7F6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63B49"/>
                <w:sz w:val="19"/>
              </w:rPr>
              <w:t>Medium</w:t>
            </w:r>
          </w:p>
        </w:tc>
        <w:tc>
          <w:tcPr>
            <w:tcW w:type="dxa" w:w="2484"/>
            <w:shd w:fill="F2F7F6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63B49"/>
                <w:sz w:val="19"/>
              </w:rPr>
              <w:t>2026-07-10 18:00</w:t>
            </w:r>
          </w:p>
        </w:tc>
        <w:tc>
          <w:tcPr>
            <w:tcW w:type="dxa" w:w="2484"/>
            <w:shd w:fill="F2F7F6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63B49"/>
                <w:sz w:val="19"/>
              </w:rPr>
              <w:t>16.86 L</w:t>
            </w:r>
          </w:p>
        </w:tc>
      </w:tr>
    </w:tbl>
    <w:p>
      <w:pPr>
        <w:spacing w:after="160" w:line="264" w:lineRule="auto"/>
      </w:pPr>
      <w:r>
        <w:rPr>
          <w:rFonts w:ascii="Calibri" w:hAnsi="Calibri"/>
          <w:b w:val="0"/>
          <w:i w:val="0"/>
          <w:color w:val="60767B"/>
          <w:sz w:val="19"/>
        </w:rPr>
        <w:t>The alert logic uses transparent rules: persistent overnight readings above 8 L/hour indicate a possible continuous leak; a reading at least 10 litres above its hour-specific statistical range indicates unusual use.</w:t>
      </w:r>
    </w:p>
    <w:p>
      <w:pPr>
        <w:spacing w:before="280" w:after="120"/>
      </w:pPr>
      <w:r>
        <w:rPr>
          <w:rFonts w:ascii="Calibri" w:hAnsi="Calibri"/>
          <w:b/>
          <w:i w:val="0"/>
          <w:color w:val="0D9488"/>
          <w:sz w:val="32"/>
        </w:rPr>
        <w:t>3. Estimated impact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063B49"/>
          <w:sz w:val="22"/>
        </w:rPr>
        <w:t>The values below are scenario estimates. They assume that the detected water wastage is prevented consistently over a 30-day month.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50"/>
            <w:vAlign w:val="center"/>
            <w:shd w:fill="063B4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Impact area</w:t>
            </w:r>
          </w:p>
        </w:tc>
        <w:tc>
          <w:tcPr>
            <w:tcW w:type="dxa" w:w="2600"/>
            <w:vAlign w:val="center"/>
            <w:shd w:fill="063B4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Projected result</w:t>
            </w:r>
          </w:p>
        </w:tc>
        <w:tc>
          <w:tcPr>
            <w:tcW w:type="dxa" w:w="4560"/>
            <w:vAlign w:val="center"/>
            <w:shd w:fill="063B4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Interpretation</w:t>
            </w:r>
          </w:p>
        </w:tc>
      </w:tr>
      <w:tr>
        <w:tc>
          <w:tcPr>
            <w:tcW w:type="dxa" w:w="3312"/>
            <w:shd w:fill="F2F7F6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63B49"/>
                <w:sz w:val="19"/>
              </w:rPr>
              <w:t>Water</w:t>
            </w:r>
          </w:p>
        </w:tc>
        <w:tc>
          <w:tcPr>
            <w:tcW w:type="dxa" w:w="3312"/>
            <w:shd w:fill="F2F7F6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63B49"/>
                <w:sz w:val="19"/>
              </w:rPr>
              <w:t>169.4 litres/month</w:t>
            </w:r>
          </w:p>
        </w:tc>
        <w:tc>
          <w:tcPr>
            <w:tcW w:type="dxa" w:w="3312"/>
            <w:shd w:fill="F2F7F6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63B49"/>
                <w:sz w:val="19"/>
              </w:rPr>
              <w:t>Potential water conserved after corrective action</w:t>
            </w:r>
          </w:p>
        </w:tc>
      </w:tr>
      <w:tr>
        <w:tc>
          <w:tcPr>
            <w:tcW w:type="dxa" w:w="3312"/>
            <w:shd w:fill="F2F7F6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63B49"/>
                <w:sz w:val="19"/>
              </w:rPr>
              <w:t>Cost</w:t>
            </w:r>
          </w:p>
        </w:tc>
        <w:tc>
          <w:tcPr>
            <w:tcW w:type="dxa" w:w="3312"/>
            <w:shd w:fill="F2F7F6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63B49"/>
                <w:sz w:val="19"/>
              </w:rPr>
              <w:t>Rs 5.08/month</w:t>
            </w:r>
          </w:p>
        </w:tc>
        <w:tc>
          <w:tcPr>
            <w:tcW w:type="dxa" w:w="3312"/>
            <w:shd w:fill="F2F7F6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63B49"/>
                <w:sz w:val="19"/>
              </w:rPr>
              <w:t>Using the editable prototype tariff of Rs 0.03 per litre</w:t>
            </w:r>
          </w:p>
        </w:tc>
      </w:tr>
      <w:tr>
        <w:tc>
          <w:tcPr>
            <w:tcW w:type="dxa" w:w="3312"/>
            <w:shd w:fill="F2F7F6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63B49"/>
                <w:sz w:val="19"/>
              </w:rPr>
              <w:t>Pumping energy</w:t>
            </w:r>
          </w:p>
        </w:tc>
        <w:tc>
          <w:tcPr>
            <w:tcW w:type="dxa" w:w="3312"/>
            <w:shd w:fill="F2F7F6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63B49"/>
                <w:sz w:val="19"/>
              </w:rPr>
              <w:t>0.085 kWh/month</w:t>
            </w:r>
          </w:p>
        </w:tc>
        <w:tc>
          <w:tcPr>
            <w:tcW w:type="dxa" w:w="3312"/>
            <w:shd w:fill="F2F7F6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63B49"/>
                <w:sz w:val="19"/>
              </w:rPr>
              <w:t>Using 0.5 kWh per 1,000 litres pumped</w:t>
            </w:r>
          </w:p>
        </w:tc>
      </w:tr>
      <w:tr>
        <w:tc>
          <w:tcPr>
            <w:tcW w:type="dxa" w:w="3312"/>
            <w:shd w:fill="F2F7F6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63B49"/>
                <w:sz w:val="19"/>
              </w:rPr>
              <w:t>Carbon emissions</w:t>
            </w:r>
          </w:p>
        </w:tc>
        <w:tc>
          <w:tcPr>
            <w:tcW w:type="dxa" w:w="3312"/>
            <w:shd w:fill="F2F7F6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63B49"/>
                <w:sz w:val="19"/>
              </w:rPr>
              <w:t>0.059 kg CO2/month</w:t>
            </w:r>
          </w:p>
        </w:tc>
        <w:tc>
          <w:tcPr>
            <w:tcW w:type="dxa" w:w="3312"/>
            <w:shd w:fill="F2F7F6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63B49"/>
                <w:sz w:val="19"/>
              </w:rPr>
              <w:t>Using 0.7 kg CO2 per kWh of electricity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i w:val="0"/>
          <w:color w:val="0D9488"/>
          <w:sz w:val="32"/>
        </w:rPr>
        <w:t>4. Recommended actions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i w:val="0"/>
          <w:color w:val="063B49"/>
          <w:sz w:val="22"/>
        </w:rPr>
        <w:t>Inspect toilet flush tanks, taps, and concealed pipe connections after a sustained overnight-flow alert.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i w:val="0"/>
          <w:color w:val="063B49"/>
          <w:sz w:val="22"/>
        </w:rPr>
        <w:t>Review garden watering duration and avoid watering when demand is already unusually high.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i w:val="0"/>
          <w:color w:val="063B49"/>
          <w:sz w:val="22"/>
        </w:rPr>
        <w:t>Use the dashboard's conservation simulator to compare leak repair and shower-use reduction scenarios.</w:t>
      </w:r>
    </w:p>
    <w:p>
      <w:pPr>
        <w:spacing w:before="280" w:after="120"/>
      </w:pPr>
      <w:r>
        <w:rPr>
          <w:rFonts w:ascii="Calibri" w:hAnsi="Calibri"/>
          <w:b/>
          <w:i w:val="0"/>
          <w:color w:val="0D9488"/>
          <w:sz w:val="32"/>
        </w:rPr>
        <w:t>5. Limitations and scale-up plan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063B49"/>
          <w:sz w:val="22"/>
        </w:rPr>
        <w:t>This is a simulation-based prototype, not a live smart-meter deployment. Its water tariff, pumping-energy factor, and electricity-emission factor are transparent project assumptions and should be replaced with local utility values for a formal assessment. At scale, hourly data can be collected from a smart meter or IoT flow sensor; a larger labelled or Kaggle dataset can then be used to compare the existing rules against an Isolation Forest anomaly-detection model.</w:t>
      </w:r>
    </w:p>
    <w:p>
      <w:pPr>
        <w:spacing w:before="280" w:after="120"/>
      </w:pPr>
      <w:r>
        <w:rPr>
          <w:rFonts w:ascii="Calibri" w:hAnsi="Calibri"/>
          <w:b/>
          <w:i w:val="0"/>
          <w:color w:val="0D9488"/>
          <w:sz w:val="32"/>
        </w:rPr>
        <w:t>6. Assignment-roadmap alignment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700"/>
            <w:vAlign w:val="center"/>
            <w:shd w:fill="063B4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Roadmap stage</w:t>
            </w:r>
          </w:p>
        </w:tc>
        <w:tc>
          <w:tcPr>
            <w:tcW w:type="dxa" w:w="6660"/>
            <w:vAlign w:val="center"/>
            <w:shd w:fill="063B4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AquaSave AI evidence</w:t>
            </w:r>
          </w:p>
        </w:tc>
      </w:tr>
      <w:tr>
        <w:tc>
          <w:tcPr>
            <w:tcW w:type="dxa" w:w="4968"/>
            <w:shd w:fill="F2F7F6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63B49"/>
                <w:sz w:val="19"/>
              </w:rPr>
              <w:t>Identify challenge</w:t>
            </w:r>
          </w:p>
        </w:tc>
        <w:tc>
          <w:tcPr>
            <w:tcW w:type="dxa" w:w="4968"/>
            <w:shd w:fill="F2F7F6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63B49"/>
                <w:sz w:val="19"/>
              </w:rPr>
              <w:t>Water wastage through leaks and unexpected usage</w:t>
            </w:r>
          </w:p>
        </w:tc>
      </w:tr>
      <w:tr>
        <w:tc>
          <w:tcPr>
            <w:tcW w:type="dxa" w:w="4968"/>
            <w:shd w:fill="F2F7F6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63B49"/>
                <w:sz w:val="19"/>
              </w:rPr>
              <w:t>Explore and visualise data</w:t>
            </w:r>
          </w:p>
        </w:tc>
        <w:tc>
          <w:tcPr>
            <w:tcW w:type="dxa" w:w="4968"/>
            <w:shd w:fill="F2F7F6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63B49"/>
                <w:sz w:val="19"/>
              </w:rPr>
              <w:t>336 hourly records, daily trend, source summaries, and alerts</w:t>
            </w:r>
          </w:p>
        </w:tc>
      </w:tr>
      <w:tr>
        <w:tc>
          <w:tcPr>
            <w:tcW w:type="dxa" w:w="4968"/>
            <w:shd w:fill="F2F7F6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63B49"/>
                <w:sz w:val="19"/>
              </w:rPr>
              <w:t>Design smart solution</w:t>
            </w:r>
          </w:p>
        </w:tc>
        <w:tc>
          <w:tcPr>
            <w:tcW w:type="dxa" w:w="4968"/>
            <w:shd w:fill="F2F7F6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63B49"/>
                <w:sz w:val="19"/>
              </w:rPr>
              <w:t>Explainable leak and unusual-use detection with conservation scenarios</w:t>
            </w:r>
          </w:p>
        </w:tc>
      </w:tr>
      <w:tr>
        <w:tc>
          <w:tcPr>
            <w:tcW w:type="dxa" w:w="4968"/>
            <w:shd w:fill="F2F7F6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63B49"/>
                <w:sz w:val="19"/>
              </w:rPr>
              <w:t>Assess impact</w:t>
            </w:r>
          </w:p>
        </w:tc>
        <w:tc>
          <w:tcPr>
            <w:tcW w:type="dxa" w:w="4968"/>
            <w:shd w:fill="F2F7F6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63B49"/>
                <w:sz w:val="19"/>
              </w:rPr>
              <w:t>Water, cost, pumping energy, and CO2 projections</w:t>
            </w:r>
          </w:p>
        </w:tc>
      </w:tr>
      <w:tr>
        <w:tc>
          <w:tcPr>
            <w:tcW w:type="dxa" w:w="4968"/>
            <w:shd w:fill="F2F7F6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63B49"/>
                <w:sz w:val="19"/>
              </w:rPr>
              <w:t>Plan to scale</w:t>
            </w:r>
          </w:p>
        </w:tc>
        <w:tc>
          <w:tcPr>
            <w:tcW w:type="dxa" w:w="4968"/>
            <w:shd w:fill="F2F7F6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63B49"/>
                <w:sz w:val="19"/>
              </w:rPr>
              <w:t>Smart-meter integration, more real data, optional machine-learning comparison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080" w:left="115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0767B"/>
        <w:sz w:val="17"/>
      </w:rPr>
      <w:t>Simulation-based prototype | SDG 6: Clean Water and Sanitation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i w:val="0"/>
        <w:color w:val="60767B"/>
        <w:sz w:val="17"/>
      </w:rPr>
      <w:t>AquaSave AI | Impact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