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2A44"/>
          <w:sz w:val="44"/>
          <w:szCs w:val="44"/>
        </w:rPr>
        <w:t xml:space="preserve">STARTUP VALIDATION REPORT</w:t>
      </w:r>
    </w:p>
    <w:p>
      <w:pPr>
        <w:spacing w:after="100" w:before="200"/>
        <w:jc w:val="center"/>
      </w:pPr>
      <w:r>
        <w:rPr>
          <w:b/>
          <w:bCs/>
          <w:color w:val="2E5EAA"/>
          <w:sz w:val="34"/>
          <w:szCs w:val="34"/>
        </w:rPr>
        <w:t xml:space="preserve">DeskDoc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AI-generated documentation for growing startups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Prepared using an evidence-based VC diligence framework</w:t>
      </w:r>
    </w:p>
    <w:p>
      <w:pPr>
        <w:spacing w:before="60"/>
        <w:jc w:val="center"/>
      </w:pPr>
      <w:r>
        <w:rPr>
          <w:color w:val="666666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/>
        </w:tabs>
        <w:spacing w:after="140"/>
      </w:pPr>
      <w:hyperlink w:history="1" w:anchor="sec1">
        <w:r>
          <w:rPr>
            <w:rStyle w:val="Hyperlink"/>
            <w:sz w:val="22"/>
            <w:szCs w:val="22"/>
          </w:rPr>
          <w:t xml:space="preserve">1. Executive Summary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2">
        <w:r>
          <w:rPr>
            <w:rStyle w:val="Hyperlink"/>
            <w:sz w:val="22"/>
            <w:szCs w:val="22"/>
          </w:rPr>
          <w:t xml:space="preserve">2. Problem Validation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3">
        <w:r>
          <w:rPr>
            <w:rStyle w:val="Hyperlink"/>
            <w:sz w:val="22"/>
            <w:szCs w:val="22"/>
          </w:rPr>
          <w:t xml:space="preserve">3. Founder-Market Fit Score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4">
        <w:r>
          <w:rPr>
            <w:rStyle w:val="Hyperlink"/>
            <w:sz w:val="22"/>
            <w:szCs w:val="22"/>
          </w:rPr>
          <w:t xml:space="preserve">4. TAM, SAM, SOM Analysis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5">
        <w:r>
          <w:rPr>
            <w:rStyle w:val="Hyperlink"/>
            <w:sz w:val="22"/>
            <w:szCs w:val="22"/>
          </w:rPr>
          <w:t xml:space="preserve">5. Competitor Analysis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6">
        <w:r>
          <w:rPr>
            <w:rStyle w:val="Hyperlink"/>
            <w:sz w:val="22"/>
            <w:szCs w:val="22"/>
          </w:rPr>
          <w:t xml:space="preserve">6. Market Gap Analysis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7">
        <w:r>
          <w:rPr>
            <w:rStyle w:val="Hyperlink"/>
            <w:sz w:val="22"/>
            <w:szCs w:val="22"/>
          </w:rPr>
          <w:t xml:space="preserve">7. Ideal Customer Profile (ICP)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8">
        <w:r>
          <w:rPr>
            <w:rStyle w:val="Hyperlink"/>
            <w:sz w:val="22"/>
            <w:szCs w:val="22"/>
          </w:rPr>
          <w:t xml:space="preserve">8. Buyer Persona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9">
        <w:r>
          <w:rPr>
            <w:rStyle w:val="Hyperlink"/>
            <w:sz w:val="22"/>
            <w:szCs w:val="22"/>
          </w:rPr>
          <w:t xml:space="preserve">9. Customer Pain Points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0">
        <w:r>
          <w:rPr>
            <w:rStyle w:val="Hyperlink"/>
            <w:sz w:val="22"/>
            <w:szCs w:val="22"/>
          </w:rPr>
          <w:t xml:space="preserve">10. Buying Triggers &amp; Objections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1">
        <w:r>
          <w:rPr>
            <w:rStyle w:val="Hyperlink"/>
            <w:sz w:val="22"/>
            <w:szCs w:val="22"/>
          </w:rPr>
          <w:t xml:space="preserve">11. Customer Journey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2">
        <w:r>
          <w:rPr>
            <w:rStyle w:val="Hyperlink"/>
            <w:sz w:val="22"/>
            <w:szCs w:val="22"/>
          </w:rPr>
          <w:t xml:space="preserve">12. Risk Assessment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3">
        <w:r>
          <w:rPr>
            <w:rStyle w:val="Hyperlink"/>
            <w:sz w:val="22"/>
            <w:szCs w:val="22"/>
          </w:rPr>
          <w:t xml:space="preserve">13. Pivot Opportunities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4">
        <w:r>
          <w:rPr>
            <w:rStyle w:val="Hyperlink"/>
            <w:sz w:val="22"/>
            <w:szCs w:val="22"/>
          </w:rPr>
          <w:t xml:space="preserve">14. Go / No-Go Recommendation</w:t>
        </w:r>
      </w:hyperlink>
      <w:r>
        <w:ptab w:alignment="right" w:relativeTo="margin" w:leader="dot"/>
      </w:r>
    </w:p>
    <w:p>
      <w:pPr>
        <w:tabs>
          <w:tab w:val="right" w:pos="9026"/>
        </w:tabs>
        <w:spacing w:after="140"/>
      </w:pPr>
      <w:hyperlink w:history="1" w:anchor="sec15">
        <w:r>
          <w:rPr>
            <w:rStyle w:val="Hyperlink"/>
            <w:sz w:val="22"/>
            <w:szCs w:val="22"/>
          </w:rPr>
          <w:t xml:space="preserve">15. 30-Day Action Plan</w:t>
        </w:r>
      </w:hyperlink>
      <w:r>
        <w:ptab w:alignment="right" w:relativeTo="margin" w:leader="dot"/>
      </w:r>
    </w:p>
    <w:p>
      <w:r>
        <w:br w:type="page"/>
      </w:r>
    </w:p>
    <w:p>
      <w:pPr>
        <w:pStyle w:val="Heading1"/>
      </w:pPr>
      <w:bookmarkStart w:name="sec1" w:id="100"/>
      <w:r>
        <w:t xml:space="preserve">1. Executive Summary</w:t>
      </w:r>
      <w:bookmarkEnd w:id="100"/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DeskDoc is an AI-powered tool that automatically generates and maintains internal documentation (SOPs, onboarding guides, process docs) by observing how a team actually works — Slack threads, meeting transcripts, and tool usage — instead of relying on someone to write and update docs manually.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target customer is Ops Leads, Heads of People, and founders at Series A–B startups (15–100 employees), starting in the US remote-first tech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Overall Verdict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A46"/>
                <w:sz w:val="20"/>
                <w:szCs w:val="20"/>
              </w:rPr>
              <w:t xml:space="preserve">CONDITIONAL GO — strong problem signal, early-stage evidence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Founder-Market Fit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7.5 / 10 — direct lived experience, no prior founder track record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Market Opportunity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SAM ≈ $410M (US), SOM Year 3 ≈ $8.6M ARR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Validation Stage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Pre-product; 12 interviews, no prototype/waitlist yet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Key Risk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Crowded adjacent-tool category; must prove auto-capture actually works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report synthesizes founder inputs, market sizing, competitive positioning, and customer evidence into a single Go/No-Go recommendation, plus a 30-day plan to close the biggest validation gaps before committing further capital or time.</w:t>
      </w:r>
    </w:p>
    <w:p>
      <w:pPr>
        <w:pStyle w:val="Heading1"/>
      </w:pPr>
      <w:bookmarkStart w:name="sec2" w:id="101"/>
      <w:r>
        <w:t xml:space="preserve">2. Problem Validation</w:t>
      </w:r>
      <w:bookmarkEnd w:id="101"/>
    </w:p>
    <w:p>
      <w:pPr>
        <w:pStyle w:val="Heading2"/>
      </w:pPr>
      <w:r>
        <w:t xml:space="preserve">2.1 Stated Problem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Growing startups (15–100 employees) lose institutional knowledge continuously: documentation goes stale immediately after it's written, new hires take longer to ramp because tribal knowledge lives in people's heads, and knowledge walks out the door when senior employees leave.</w:t>
      </w:r>
    </w:p>
    <w:p>
      <w:pPr>
        <w:pStyle w:val="Heading2"/>
      </w:pPr>
      <w:r>
        <w:t xml:space="preserve">2.2 Evidence Collected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Customer interviews conducted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Confirmed pain as top-3 issue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 of 12 (75%)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Stated willingness to pay today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 of 12 (42%)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None yet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Waitlist / pre-orders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None yet</w:t>
            </w:r>
          </w:p>
        </w:tc>
      </w:tr>
    </w:tbl>
    <w:p>
      <w:pPr>
        <w:pStyle w:val="Heading2"/>
      </w:pPr>
      <w:r>
        <w:t xml:space="preserve">2.3 Assessment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75% pain-confirmation rate from unprompted interviews is a genuinely strong early signal — most first-time founders don't reach this bar. However, a 42% willingness-to-pay rate from only 12 interviews is a small, self-selected sample; it should be treated as directional, not conclusive. The absence of a prototype or waitlist means the idea is validated at the problem level but not yet at the solution or pricing level.</w:t>
      </w:r>
    </w:p>
    <w:p>
      <w:pPr>
        <w:pStyle w:val="Heading1"/>
      </w:pPr>
      <w:bookmarkStart w:name="sec3" w:id="102"/>
      <w:r>
        <w:t xml:space="preserve">3. Founder-Market Fit Score</w:t>
      </w:r>
      <w:bookmarkEnd w:id="1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660"/>
      </w:tblGrid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Score /10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Domain expertise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Ex-Ops lead, lived the exact problem twice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Customer access / network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Strong Ops/People-lead network from prior roles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Technical build capability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AI/NLP integration is non-trivial; team gap unclear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Prior founder track record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First-time founder — normal, but a real gap for fundraising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Personal motivation / grit signal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Pain personally experienced, not theoretical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Overall Founder-Market Fit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7.5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Above-average fit for this problem space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strongest asset here is lived domain pain, which is the single best predictor of early product intuition. The clearest gap is technical execution risk: reliably extracting structured documentation from unstructured conversations (Slack, meetings) is a hard NLP problem, and the plan should explicitly address whether this is built in-house or via foundation-model APIs.</w:t>
      </w:r>
    </w:p>
    <w:p>
      <w:pPr>
        <w:pStyle w:val="Heading1"/>
      </w:pPr>
      <w:bookmarkStart w:name="sec4" w:id="103"/>
      <w:r>
        <w:t xml:space="preserve">4. TAM, SAM, SOM Analysis</w:t>
      </w:r>
      <w:bookmarkEnd w:id="1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TAM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SAM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SOM (Yr 3)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All global companies 15–100 employees w/ internal docs need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 remote-first tech startups, Series A–B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Realistic capture given GTM capacity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Company count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~2.1M companies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~41,000 companies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~850 companies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ACV assumption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$4,800/yr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$10,000/yr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$10,000/yr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~$10.1B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~$410M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FF3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~$8.6M ARR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Methodology note: TAM uses a bottom-up count of companies globally in the 15–100 employee band multiplied by a conservative per-seat-equivalent ACV. SAM narrows to the addressable US remote-first tech segment. SOM assumes ~2% penetration of SAM by Year 3, consistent with typical vertical SaaS capture rates for a well-executed pre-seed to Series A company. These figures are estimates for directional planning, not audited projections — the person should stress-test the company-count assumptions against a named data source (e.g., Crunchbase, LinkedIn firmographic data) before using them externally.</w:t>
      </w:r>
    </w:p>
    <w:p>
      <w:pPr>
        <w:pStyle w:val="Heading1"/>
      </w:pPr>
      <w:bookmarkStart w:name="sec5" w:id="104"/>
      <w:r>
        <w:t xml:space="preserve">5. Competitor Analysis</w:t>
      </w:r>
      <w:bookmarkEnd w:id="10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630"/>
        <w:gridCol w:w="263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Strength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Weakness / Gap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Notion / Confluence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Docs platform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Ubiquitous, flexible, trusted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Manual — still requires someone to write and update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Guru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Knowledge mgmt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Verification workflows, browser extension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Still requires manual authoring; not auto-generated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Tettra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Internal wiki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Simple, Slack-native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auto-capture from conversations/meetings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Scribe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Process capture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Auto-captures screen workflows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Limited to click-by-click SOPs, not broader knowledge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Otter.ai / Fireflies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Meeting transcription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Strong transcript capture</w:t>
            </w:r>
          </w:p>
        </w:tc>
        <w:tc>
          <w:tcPr>
            <w:tcW w:type="dxa" w:w="26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Transcripts only — no synthesis into structured docs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 direct competitor combines passive multi-source capture (Slack + meetings + tool usage) with automatic synthesis into structured, maintained documentation. The category is adjacent-crowded but the specific wedge — zero-effort, always-current docs — is not yet owned by an incumbent.</w:t>
      </w:r>
    </w:p>
    <w:p>
      <w:pPr>
        <w:pStyle w:val="Heading1"/>
      </w:pPr>
      <w:bookmarkStart w:name="sec6" w:id="105"/>
      <w:r>
        <w:t xml:space="preserve">6. Market Gap Analysis</w:t>
      </w:r>
      <w:bookmarkEnd w:id="105"/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existing tool assumes a human will initiate and maintain documentation; none treat it as a fully passive byproduct of normal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Meeting-transcription tools capture raw conversation but stop short of synthesis into reusable, structured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Wiki tools solve storage and formatting, not the upstream authorship and staleness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clearest white space: passive, multi-source capture + AI synthesis + automatic staleness detection (flagging docs that contradict recent activity).</w:t>
      </w:r>
    </w:p>
    <w:p>
      <w:pPr>
        <w:pStyle w:val="Heading1"/>
      </w:pPr>
      <w:bookmarkStart w:name="sec7" w:id="106"/>
      <w:r>
        <w:t xml:space="preserve">7. Ideal Customer Profile (ICP)</w:t>
      </w:r>
      <w:bookmarkEnd w:id="10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15–100 employees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Series A–B, VC-backed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Work model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Remote-first or hybrid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Tooling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Slack, Zoom/Meet, Notion or similar already in use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Recent or upcoming hiring surge; recent senior departure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Geography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United States (Phase 1); UK, Canada (Phase 2)</w:t>
            </w:r>
          </w:p>
        </w:tc>
      </w:tr>
    </w:tbl>
    <w:p>
      <w:pPr>
        <w:pStyle w:val="Heading1"/>
      </w:pPr>
      <w:bookmarkStart w:name="sec8" w:id="107"/>
      <w:r>
        <w:t xml:space="preserve">8. Buyer Persona</w:t>
      </w:r>
      <w:bookmarkEnd w:id="10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“Ops Olivia”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Head of Ops / People, or founder wearing the Ops hat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Company stage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Series A–B, 15–100 employees, scaling fast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Faster onboarding, reduced dependency on tribal knowledge, audit-ready processes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time to write docs; docs go stale within weeks; repeated Slack questions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Budget authority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Usually has discretionary tooling budget up to ~$10-15K/yr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Where she looks for tools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Peer Slack communities, Twitter/LinkedIn Ops groups, G2</w:t>
            </w:r>
          </w:p>
        </w:tc>
      </w:tr>
    </w:tbl>
    <w:p>
      <w:pPr>
        <w:pStyle w:val="Heading1"/>
      </w:pPr>
      <w:bookmarkStart w:name="sec9" w:id="108"/>
      <w:r>
        <w:t xml:space="preserve">9. Customer Pain Points</w:t>
      </w:r>
      <w:bookmarkEnd w:id="108"/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hires take 3–6 weeks longer to become productive due to missing or outdated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Senior employees are repeatedly interrupted to answer questions that should already be 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 projects are perpetually deprioritized because no one owns them and they feel like a sunk-cost chore.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Knowledge loss on employee departure creates operational risk and repeated re-learning.</w:t>
      </w:r>
    </w:p>
    <w:p>
      <w:pPr>
        <w:pStyle w:val="Heading1"/>
      </w:pPr>
      <w:bookmarkStart w:name="sec10" w:id="109"/>
      <w:r>
        <w:t xml:space="preserve">10. Buying Triggers &amp; Objections</w:t>
      </w:r>
      <w:bookmarkEnd w:id="109"/>
    </w:p>
    <w:p>
      <w:pPr>
        <w:pStyle w:val="Heading2"/>
      </w:pPr>
      <w:r>
        <w:t xml:space="preserve">10.1 Buying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hiring surge (e.g., doubling headcount in 6 months).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senior employee's departure exposing a documentation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failed audit, SOC 2 process, or investor diligence request surfacing missing SOPs.</w:t>
      </w:r>
    </w:p>
    <w:p>
      <w:pPr>
        <w:pStyle w:val="Heading2"/>
      </w:pPr>
      <w:r>
        <w:t xml:space="preserve">10.2 Common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0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Objection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F0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Response Strategy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“We already have Notion.”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Notion is where docs live; DeskDoc is how they get written and stay current — positioned as complementary, not a replacement.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“Privacy concerns about reading Slack/meetings.”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Offer granular channel/meeting opt-in, redaction controls, and clear data-retention policy up front.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“Too early / too small a team.”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Reframe as a hiring-scale insurance tool — cheapest to adopt before the pain compounds.</w:t>
            </w:r>
          </w:p>
        </w:tc>
      </w:tr>
    </w:tbl>
    <w:p>
      <w:pPr>
        <w:pStyle w:val="Heading1"/>
      </w:pPr>
      <w:bookmarkStart w:name="sec11" w:id="110"/>
      <w:r>
        <w:t xml:space="preserve">11. Customer Journey</w:t>
      </w:r>
      <w:bookmarkEnd w:id="1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Awareness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Discovers DeskDoc via an Ops community, LinkedIn post, or peer referral after venting about stale docs.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Compares against “just use Notion better” and manual-effort alternatives; evaluates data privacy and integration effort.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Trial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Connects Slack + calendar to a pilot workspace; reviews auto-generated docs for a subset of channels.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Upgrades to paid after seeing accurate, current docs generated with near-zero manual effort.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Expansion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Rolls out company-wide; becomes a reference customer for case studies and referrals.</w:t>
            </w:r>
          </w:p>
        </w:tc>
      </w:tr>
    </w:tbl>
    <w:p>
      <w:pPr>
        <w:pStyle w:val="Heading1"/>
      </w:pPr>
      <w:bookmarkStart w:name="sec12" w:id="111"/>
      <w:r>
        <w:t xml:space="preserve">12. Risk Assessment</w:t>
      </w:r>
      <w:bookmarkEnd w:id="1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E1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Technical: unreliable auto-synthesis quality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Ship a narrow, high-precision v1 (e.g., onboarding SOPs only) before generalizing.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 privacy / trust concerns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Opt-in scoping, SOC 2 roadmap, transparent data handling from day one.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Competitive response from Notion/Guru adding AI capture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Move fast on the passive-capture wedge; consider integration (not pure competition) with incumbents.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Small sample validation (12 interviews)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Expand to 30–50 interviews and a paid pilot before fundraising on this data.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First-time founder execution risk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Recruit a technical co-founder or early advisor with applied NLP/AI experience.</w:t>
            </w:r>
          </w:p>
        </w:tc>
      </w:tr>
    </w:tbl>
    <w:p>
      <w:pPr>
        <w:pStyle w:val="Heading1"/>
      </w:pPr>
      <w:bookmarkStart w:name="sec13" w:id="112"/>
      <w:r>
        <w:t xml:space="preserve">13. Pivot Opportunities</w:t>
      </w:r>
      <w:bookmarkEnd w:id="112"/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Narrow further to onboarding-only documentation as a wedge product, expanding to full knowledge management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Reposition as an SOC2/compliance-readiness tool if enterprise buyers show stronger willingness to pay than SMB Ops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License the auto-synthesis engine as an API/add-on to existing platforms (Notion, Confluence) rather than competing head-on.</w:t>
      </w:r>
    </w:p>
    <w:p>
      <w:pPr>
        <w:pStyle w:val="Heading1"/>
      </w:pPr>
      <w:bookmarkStart w:name="sec14" w:id="113"/>
      <w:r>
        <w:t xml:space="preserve">14. Go / No-Go Recommendation</w:t>
      </w:r>
      <w:bookmarkEnd w:id="113"/>
    </w:p>
    <w:p>
      <w:pPr>
        <w:spacing w:after="200" w:before="100"/>
      </w:pPr>
      <w:r>
        <w:rPr>
          <w:b/>
          <w:bCs/>
          <w:color w:val="1E7A46"/>
          <w:sz w:val="20"/>
          <w:szCs w:val="20"/>
          <w:shd w:fill="DFF3E6" w:val="clear"/>
        </w:rPr>
        <w:t xml:space="preserve">  CONDITIONAL GO  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problem is real and validated at the qualitative level, founder-market fit is strong, and the market gap is genuine rather than crowded-out. However, the current evidence base (12 interviews, no prototype, no paid pilot) is too thin to justify a full-time commitment or a priced fundraise today.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Recommendation: proceed to a scoped, time-boxed validation sprint (see Section 15) before committing to this full-time or raising a pre-seed round. Do not build the full product yet — validate the auto-synthesis quality and willingness-to-pay with a narrow prototype first.</w:t>
      </w:r>
    </w:p>
    <w:p>
      <w:pPr>
        <w:pStyle w:val="Heading1"/>
      </w:pPr>
      <w:bookmarkStart w:name="sec15" w:id="114"/>
      <w:r>
        <w:t xml:space="preserve">15. 30-Day Action Plan</w:t>
      </w:r>
      <w:bookmarkEnd w:id="1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4600"/>
      </w:tblGrid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Focus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Week 1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Deepen problem validation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 15 more customer interviews targeting Ops/People leads post-hiring-surge; validate pricing sensitivity directly.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Week 2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Narrow scope prototype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Build a minimal proof-of-concept: auto-generate one onboarding doc from a real Slack channel + one meeting transcript.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Week 3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Pilot with real users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Get 3–5 target companies to test the prototype on real data; measure doc accuracy and time saved.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Week 4</w:t>
            </w:r>
          </w:p>
        </w:tc>
        <w:tc>
          <w:tcPr>
            <w:tcW w:type="dxa" w:w="3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Decision checkpoint</w:t>
            </w:r>
          </w:p>
        </w:tc>
        <w:tc>
          <w:tcPr>
            <w:tcW w:type="dxa" w:w="4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Assess pilot feedback + willingness-to-pay signal; decide whether to commit full-time, raise pre-seed, or pivot per Section 13.</w:t>
            </w:r>
          </w:p>
        </w:tc>
      </w:tr>
    </w:tbl>
    <w:p>
      <w:pPr>
        <w:pBdr>
          <w:bottom w:val="single" w:color="2E5EAA" w:sz="6" w:space="1"/>
        </w:pBdr>
        <w:spacing w:after="200" w:before="100"/>
      </w:pPr>
      <w:r>
        <w:t xml:space="preserve"/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This report is a structured planning aid generated from founder-provided inputs and directional market estimates. It is not investment advice, and market-sizing figures should be independently verified before external use (e.g., fundraising materials).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6"/>
        <w:szCs w:val="16"/>
      </w:rPr>
      <w:t xml:space="preserve">DeskDoc — Startup Validation Report</w:t>
    </w:r>
    <w:r>
      <w:rPr>
        <w:color w:val="66666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AA" w:sz="8" w:space="4"/>
      </w:pBdr>
      <w:spacing w:after="200" w:before="40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EAA"/>
      <w:sz w:val="25"/>
      <w:szCs w:val="25"/>
    </w:rPr>
  </w:style>
  <w:style w:type="character" w:styleId="Hyperlink">
    <w:name w:val="Hyperlink"/>
    <w:basedOn w:val="DefaultParagraphFont"/>
    <w:uiPriority w:val="99"/>
    <w:unhideWhenUsed/>
    <w:rPr>
      <w:color w:val="2E5EAA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2026-07-01T04:12:25.314Z</dcterms:created>
  <dcterms:modified xsi:type="dcterms:W3CDTF">2026-07-01T04:12:25.314Z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