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40" w:after="360"/>
      </w:pPr>
      <w:r>
        <w:rPr>
          <w:rFonts w:ascii="Source Sans 3" w:hAnsi="Source Sans 3"/>
          <w:b/>
          <w:color w:val="A15C38"/>
          <w:sz w:val="18"/>
        </w:rPr>
        <w:t>TRAFFIC RADIUS · EVIDENCE-LED DELIVERY</w:t>
      </w:r>
    </w:p>
    <w:p>
      <w:pPr>
        <w:pStyle w:val="Title"/>
      </w:pPr>
      <w:r>
        <w:t>Chocolate delivery planning guide</w:t>
      </w:r>
    </w:p>
    <w:p>
      <w:pPr>
        <w:spacing w:after="560"/>
      </w:pPr>
      <w:r>
        <w:rPr>
          <w:color w:val="66716D"/>
          <w:sz w:val="28"/>
        </w:rPr>
        <w:t>Existing-page content refresh · Target: https://kakawachocolates.com.au/pages/shipping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194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b/>
                <w:color w:val="66716D"/>
                <w:sz w:val="16"/>
              </w:rPr>
              <w:t>CLIENT</w:t>
            </w:r>
          </w:p>
        </w:tc>
        <w:tc>
          <w:tcPr>
            <w:tcW w:type="dxa" w:w="741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color w:val="17201E"/>
                <w:sz w:val="18"/>
              </w:rPr>
              <w:t>Kakawa Chocolates</w:t>
            </w:r>
          </w:p>
        </w:tc>
      </w:tr>
      <w:tr>
        <w:tc>
          <w:tcPr>
            <w:tcW w:type="dxa" w:w="194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b/>
                <w:color w:val="66716D"/>
                <w:sz w:val="16"/>
              </w:rPr>
              <w:t>EVIDENCE AS OF</w:t>
            </w:r>
          </w:p>
        </w:tc>
        <w:tc>
          <w:tcPr>
            <w:tcW w:type="dxa" w:w="741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color w:val="17201E"/>
                <w:sz w:val="18"/>
              </w:rPr>
              <w:t>2026-07-15</w:t>
            </w:r>
          </w:p>
        </w:tc>
      </w:tr>
      <w:tr>
        <w:tc>
          <w:tcPr>
            <w:tcW w:type="dxa" w:w="194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b/>
                <w:color w:val="66716D"/>
                <w:sz w:val="16"/>
              </w:rPr>
              <w:t>RUN</w:t>
            </w:r>
          </w:p>
        </w:tc>
        <w:tc>
          <w:tcPr>
            <w:tcW w:type="dxa" w:w="741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color w:val="17201E"/>
                <w:sz w:val="18"/>
              </w:rPr>
              <w:t>KAKAWA-ENT-20260715</w:t>
            </w:r>
          </w:p>
        </w:tc>
      </w:tr>
      <w:tr>
        <w:tc>
          <w:tcPr>
            <w:tcW w:type="dxa" w:w="194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b/>
                <w:color w:val="66716D"/>
                <w:sz w:val="16"/>
              </w:rPr>
              <w:t>STATUS</w:t>
            </w:r>
          </w:p>
        </w:tc>
        <w:tc>
          <w:tcPr>
            <w:tcW w:type="dxa" w:w="741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color w:val="17201E"/>
                <w:sz w:val="18"/>
              </w:rPr>
              <w:t>WITHHELD_PENDING_HUMAN_APPROVAL</w:t>
            </w:r>
          </w:p>
        </w:tc>
      </w:tr>
    </w:tbl>
    <w:p>
      <w:pPr>
        <w:pStyle w:val="EvidenceCallout"/>
        <w:spacing w:before="680"/>
      </w:pPr>
      <w:r>
        <w:t>Measured and derived claims in this document resolve to the evidence register. Unavailable private data is named explicitly; no substitute metrics were invented.</w:t>
      </w:r>
    </w:p>
    <w:p>
      <w:r>
        <w:br w:type="page"/>
      </w:r>
    </w:p>
    <w:p>
      <w:pPr>
        <w:pStyle w:val="Heading1"/>
      </w:pPr>
      <w:r>
        <w:t>Editorial brief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1656"/>
        <w:gridCol w:w="2448"/>
        <w:gridCol w:w="2808"/>
      </w:tblGrid>
      <w:tr>
        <w:trPr>
          <w:tblHeader w:val="true"/>
        </w:trPr>
        <w:tc>
          <w:tcPr>
            <w:tcW w:type="dxa" w:w="2160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Audience</w:t>
            </w:r>
          </w:p>
        </w:tc>
        <w:tc>
          <w:tcPr>
            <w:tcW w:type="dxa" w:w="1656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Intent</w:t>
            </w:r>
          </w:p>
        </w:tc>
        <w:tc>
          <w:tcPr>
            <w:tcW w:type="dxa" w:w="2448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Primary topic</w:t>
            </w:r>
          </w:p>
        </w:tc>
        <w:tc>
          <w:tcPr>
            <w:tcW w:type="dxa" w:w="2808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Target URL</w:t>
            </w:r>
          </w:p>
        </w:tc>
      </w:tr>
      <w:tr>
        <w:tc>
          <w:tcPr>
            <w:tcW w:type="dxa" w:w="2160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color w:val="17201E"/>
                <w:sz w:val="16"/>
              </w:rPr>
              <w:t>Gift buyers</w:t>
            </w:r>
          </w:p>
        </w:tc>
        <w:tc>
          <w:tcPr>
            <w:tcW w:type="dxa" w:w="1656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color w:val="17201E"/>
                <w:sz w:val="16"/>
              </w:rPr>
              <w:t>shipping support</w:t>
            </w:r>
          </w:p>
        </w:tc>
        <w:tc>
          <w:tcPr>
            <w:tcW w:type="dxa" w:w="2448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color w:val="17201E"/>
                <w:sz w:val="16"/>
              </w:rPr>
              <w:t>Chocolate delivery planning guide</w:t>
            </w:r>
          </w:p>
        </w:tc>
        <w:tc>
          <w:tcPr>
            <w:tcW w:type="dxa" w:w="2808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color w:val="17201E"/>
                <w:sz w:val="16"/>
              </w:rPr>
              <w:t>https://kakawachocolates.com.au/pages/shipping</w:t>
            </w:r>
          </w:p>
        </w:tc>
      </w:tr>
    </w:tbl>
    <w:p>
      <w:pPr>
        <w:spacing w:after="0"/>
      </w:pPr>
    </w:p>
    <w:p>
      <w:pPr>
        <w:pStyle w:val="Heading1"/>
      </w:pPr>
      <w:r>
        <w:t>Chocolate delivery planning guide</w:t>
      </w:r>
    </w:p>
    <w:p>
      <w:pPr>
        <w:pStyle w:val="Heading2"/>
      </w:pPr>
      <w:r>
        <w:t>Check delivery considerations before ordering</w:t>
      </w:r>
    </w:p>
    <w:p>
      <w:r>
        <w:t>Use this page when your main goal is shipping support. Start with the decision you need to make, then confirm current details on the live Kakawa page before acting.</w:t>
      </w:r>
    </w:p>
    <w:p>
      <w:pPr>
        <w:pStyle w:val="Heading2"/>
      </w:pPr>
      <w:r>
        <w:t>What to check</w:t>
      </w:r>
    </w:p>
    <w:p>
      <w:pPr>
        <w:pStyle w:val="ListBullet"/>
      </w:pPr>
      <w:r>
        <w:t>The purpose or occasion</w:t>
      </w:r>
    </w:p>
    <w:p>
      <w:pPr>
        <w:pStyle w:val="ListBullet"/>
      </w:pPr>
      <w:r>
        <w:t>The quantity or range you are considering</w:t>
      </w:r>
    </w:p>
    <w:p>
      <w:pPr>
        <w:pStyle w:val="ListBullet"/>
      </w:pPr>
      <w:r>
        <w:t>Any timing, delivery or collection constraints</w:t>
      </w:r>
    </w:p>
    <w:p>
      <w:pPr>
        <w:pStyle w:val="ListBullet"/>
      </w:pPr>
      <w:r>
        <w:t>The current terms shown on the official page</w:t>
      </w:r>
    </w:p>
    <w:p>
      <w:pPr>
        <w:pStyle w:val="Heading2"/>
      </w:pPr>
      <w:r>
        <w:t>Why current details matter</w:t>
      </w:r>
    </w:p>
    <w:p>
      <w:r>
        <w:t>Availability, product details and operating terms can change. Treat the live page as authoritative and ask Kakawa to confirm anything material to your decision.</w:t>
      </w:r>
    </w:p>
    <w:p>
      <w:pPr>
        <w:pStyle w:val="Heading2"/>
      </w:pPr>
      <w:r>
        <w:t>Next step</w:t>
      </w:r>
    </w:p>
    <w:p>
      <w:r>
        <w:t>Review the current information at https://kakawachocolates.com.au/pages/shipping and use the contact route shown there if your question is not resolved.</w:t>
      </w:r>
    </w:p>
    <w:p>
      <w:r>
        <w:br w:type="page"/>
      </w:r>
    </w:p>
    <w:p>
      <w:pPr>
        <w:pStyle w:val="Heading1"/>
      </w:pPr>
      <w:r>
        <w:t>Claim ledger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88"/>
        <w:gridCol w:w="1440"/>
        <w:gridCol w:w="1152"/>
        <w:gridCol w:w="2592"/>
      </w:tblGrid>
      <w:tr>
        <w:trPr>
          <w:tblHeader w:val="true"/>
        </w:trPr>
        <w:tc>
          <w:tcPr>
            <w:tcW w:type="dxa" w:w="3888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Claim</w:t>
            </w:r>
          </w:p>
        </w:tc>
        <w:tc>
          <w:tcPr>
            <w:tcW w:type="dxa" w:w="1440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Evidence</w:t>
            </w:r>
          </w:p>
        </w:tc>
        <w:tc>
          <w:tcPr>
            <w:tcW w:type="dxa" w:w="1152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Confidence</w:t>
            </w:r>
          </w:p>
        </w:tc>
        <w:tc>
          <w:tcPr>
            <w:tcW w:type="dxa" w:w="2592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Validation</w:t>
            </w:r>
          </w:p>
        </w:tc>
      </w:tr>
      <w:tr>
        <w:tc>
          <w:tcPr>
            <w:tcW w:type="dxa" w:w="3888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color w:val="17201E"/>
                <w:sz w:val="16"/>
              </w:rPr>
              <w:t>The official page was observed with the title: Shipping Information | Kakawa Chocolates</w:t>
            </w:r>
          </w:p>
        </w:tc>
        <w:tc>
          <w:tcPr>
            <w:tcW w:type="dxa" w:w="1440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color w:val="17201E"/>
                <w:sz w:val="16"/>
              </w:rPr>
              <w:t>EV-0031</w:t>
            </w:r>
          </w:p>
        </w:tc>
        <w:tc>
          <w:tcPr>
            <w:tcW w:type="dxa" w:w="1152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color w:val="17201E"/>
                <w:sz w:val="16"/>
              </w:rPr>
              <w:t>100%</w:t>
            </w:r>
          </w:p>
        </w:tc>
        <w:tc>
          <w:tcPr>
            <w:tcW w:type="dxa" w:w="2592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color w:val="17201E"/>
                <w:sz w:val="16"/>
              </w:rPr>
              <w:t>supported</w:t>
            </w:r>
          </w:p>
        </w:tc>
      </w:tr>
      <w:tr>
        <w:tc>
          <w:tcPr>
            <w:tcW w:type="dxa" w:w="3888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  <w:shd w:fill="F6F2E9"/>
          </w:tcPr>
          <w:p>
            <w:r>
              <w:rPr>
                <w:rFonts w:ascii="Source Sans 3" w:hAnsi="Source Sans 3"/>
                <w:color w:val="17201E"/>
                <w:sz w:val="16"/>
              </w:rPr>
              <w:t>The official page exposed a public meta description as of 2026-07-15.</w:t>
            </w:r>
          </w:p>
        </w:tc>
        <w:tc>
          <w:tcPr>
            <w:tcW w:type="dxa" w:w="1440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  <w:shd w:fill="F6F2E9"/>
          </w:tcPr>
          <w:p>
            <w:r>
              <w:rPr>
                <w:rFonts w:ascii="Source Sans 3" w:hAnsi="Source Sans 3"/>
                <w:color w:val="17201E"/>
                <w:sz w:val="16"/>
              </w:rPr>
              <w:t>EV-0031</w:t>
            </w:r>
          </w:p>
        </w:tc>
        <w:tc>
          <w:tcPr>
            <w:tcW w:type="dxa" w:w="1152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  <w:shd w:fill="F6F2E9"/>
          </w:tcPr>
          <w:p>
            <w:r>
              <w:rPr>
                <w:rFonts w:ascii="Source Sans 3" w:hAnsi="Source Sans 3"/>
                <w:color w:val="17201E"/>
                <w:sz w:val="16"/>
              </w:rPr>
              <w:t>100%</w:t>
            </w:r>
          </w:p>
        </w:tc>
        <w:tc>
          <w:tcPr>
            <w:tcW w:type="dxa" w:w="2592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  <w:shd w:fill="F6F2E9"/>
          </w:tcPr>
          <w:p>
            <w:r>
              <w:rPr>
                <w:rFonts w:ascii="Source Sans 3" w:hAnsi="Source Sans 3"/>
                <w:color w:val="17201E"/>
                <w:sz w:val="16"/>
              </w:rPr>
              <w:t>supported</w:t>
            </w:r>
          </w:p>
        </w:tc>
      </w:tr>
    </w:tbl>
    <w:p>
      <w:pPr>
        <w:spacing w:after="0"/>
      </w:pPr>
    </w:p>
    <w:p>
      <w:pPr>
        <w:pStyle w:val="Heading1"/>
      </w:pPr>
      <w:r>
        <w:t>Source ledger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"/>
        <w:gridCol w:w="3600"/>
        <w:gridCol w:w="1656"/>
        <w:gridCol w:w="2880"/>
      </w:tblGrid>
      <w:tr>
        <w:trPr>
          <w:tblHeader w:val="true"/>
        </w:trPr>
        <w:tc>
          <w:tcPr>
            <w:tcW w:type="dxa" w:w="1008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ID</w:t>
            </w:r>
          </w:p>
        </w:tc>
        <w:tc>
          <w:tcPr>
            <w:tcW w:type="dxa" w:w="3600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Source</w:t>
            </w:r>
          </w:p>
        </w:tc>
        <w:tc>
          <w:tcPr>
            <w:tcW w:type="dxa" w:w="1656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Captured</w:t>
            </w:r>
          </w:p>
        </w:tc>
        <w:tc>
          <w:tcPr>
            <w:tcW w:type="dxa" w:w="2880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Scope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96" w:bottom="1152" w:left="1296" w:header="432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ook w:firstColumn="1" w:firstRow="1" w:lastColumn="0" w:lastRow="0" w:noHBand="0" w:noVBand="1" w:val="04A0"/>
    </w:tblPr>
    <w:tblGrid>
      <w:gridCol w:w="8064"/>
      <w:gridCol w:w="1584"/>
    </w:tblGrid>
    <w:tr>
      <w:tc>
        <w:tcPr>
          <w:tcW w:type="dxa" w:w="4824"/>
        </w:tcPr>
        <w:p>
          <w:r>
            <w:rPr>
              <w:rFonts w:ascii="Source Sans 3" w:hAnsi="Source Sans 3"/>
              <w:color w:val="66716D"/>
              <w:sz w:val="15"/>
            </w:rPr>
            <w:t>Evidence before assertion · Private client document</w:t>
          </w:r>
        </w:p>
      </w:tc>
      <w:tc>
        <w:tcPr>
          <w:tcW w:type="dxa" w:w="4824"/>
        </w:tcPr>
        <w:p>
          <w:pPr>
            <w:jc w:val="right"/>
          </w:pPr>
          <w:r>
            <w:rPr>
              <w:rFonts w:ascii="Source Sans 3" w:hAnsi="Source Sans 3"/>
              <w:color w:val="66716D"/>
              <w:sz w:val="15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5472"/>
      <w:gridCol w:w="4176"/>
    </w:tblGrid>
    <w:tr>
      <w:tc>
        <w:tcPr>
          <w:tcW w:type="dxa" w:w="4824"/>
          <w:tcMar>
            <w:top w:w="0" w:type="dxa"/>
            <w:start w:w="0" w:type="dxa"/>
            <w:bottom w:w="40" w:type="dxa"/>
            <w:end w:w="0" w:type="dxa"/>
          </w:tcMar>
        </w:tcPr>
        <w:p>
          <w:r>
            <w:rPr>
              <w:rFonts w:ascii="Source Sans 3" w:hAnsi="Source Sans 3"/>
              <w:b/>
              <w:color w:val="66716D"/>
              <w:sz w:val="15"/>
            </w:rPr>
            <w:t>TRAFFIC RADIUS</w:t>
          </w:r>
        </w:p>
      </w:tc>
      <w:tc>
        <w:tcPr>
          <w:tcW w:type="dxa" w:w="4824"/>
          <w:tcMar>
            <w:top w:w="0" w:type="dxa"/>
            <w:start w:w="0" w:type="dxa"/>
            <w:bottom w:w="40" w:type="dxa"/>
            <w:end w:w="0" w:type="dxa"/>
          </w:tcMar>
        </w:tcPr>
        <w:p>
          <w:pPr>
            <w:jc w:val="right"/>
          </w:pPr>
          <w:r>
            <w:rPr>
              <w:rFonts w:ascii="Source Sans 3" w:hAnsi="Source Sans 3"/>
              <w:b/>
              <w:color w:val="66716D"/>
              <w:sz w:val="15"/>
            </w:rPr>
            <w:t>ENTERPRISE SEO STUDIO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93" w:lineRule="auto"/>
    </w:pPr>
    <w:rPr>
      <w:rFonts w:ascii="Source Sans 3" w:hAnsi="Source Sans 3" w:eastAsia="Source Sans 3"/>
      <w:color w:val="17201E"/>
      <w:sz w:val="21"/>
      <w:lang w:val="en-A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Fraunces" w:hAnsi="Fraunces" w:eastAsia="Fraunces"/>
      <w:b/>
      <w:bCs/>
      <w:color w:val="17201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Source Sans 3" w:hAnsi="Source Sans 3" w:eastAsia="Source Sans 3"/>
      <w:b/>
      <w:bCs/>
      <w:color w:val="3E4C8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Source Sans 3" w:hAnsi="Source Sans 3" w:eastAsia="Source Sans 3"/>
      <w:b/>
      <w:bCs/>
      <w:color w:val="A15C3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Fraunces" w:hAnsi="Fraunces" w:eastAsia="Fraunces"/>
      <w:b w:val="0"/>
      <w:color w:val="17201E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videnceCallout">
    <w:name w:val="Evidence Callout"/>
    <w:pPr>
      <w:spacing w:before="160" w:after="200"/>
      <w:ind w:left="288" w:right="288"/>
    </w:pPr>
    <w:rPr>
      <w:rFonts w:ascii="Source Sans 3" w:hAnsi="Source Sans 3"/>
      <w:color w:val="3E4C83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Chocolate delivery planning guide</dc:title>
  <dc:subject>Evidence-supported SEO content asset</dc:subject>
  <dc:creator>Traffic Radius</dc:creator>
  <cp:keywords>enterprise SEO, evidence, strategy, approval</cp:keywords>
  <dc:description>Generated from canonical, evidence-linked records.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