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360"/>
      </w:pPr>
      <w:r>
        <w:rPr>
          <w:rFonts w:ascii="Source Sans 3" w:hAnsi="Source Sans 3"/>
          <w:b/>
          <w:color w:val="A15C38"/>
          <w:sz w:val="18"/>
        </w:rPr>
        <w:t>TRAFFIC RADIUS · EVIDENCE-LED DELIVERY</w:t>
      </w:r>
    </w:p>
    <w:p>
      <w:pPr>
        <w:pStyle w:val="Title"/>
      </w:pPr>
      <w:r>
        <w:t>Wholesale enquiry guide</w:t>
      </w:r>
    </w:p>
    <w:p>
      <w:pPr>
        <w:spacing w:after="560"/>
      </w:pPr>
      <w:r>
        <w:rPr>
          <w:color w:val="66716D"/>
          <w:sz w:val="28"/>
        </w:rPr>
        <w:t>Existing-page content refresh · Target: https://kakawachocolates.com.au/pages/wholesale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CLIENT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 Chocolates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EVIDENCE AS OF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2026-07-15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RUN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KAKAWA-ENT-20260715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STATUS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WITHHELD_PENDING_HUMAN_APPROVAL</w:t>
            </w:r>
          </w:p>
        </w:tc>
      </w:tr>
    </w:tbl>
    <w:p>
      <w:pPr>
        <w:pStyle w:val="EvidenceCallout"/>
        <w:spacing w:before="680"/>
      </w:pPr>
      <w:r>
        <w:t>Measured and derived claims in this document resolve to the evidence register. Unavailable private data is named explicitly; no substitute metrics were invented.</w:t>
      </w:r>
    </w:p>
    <w:p>
      <w:r>
        <w:br w:type="page"/>
      </w:r>
    </w:p>
    <w:p>
      <w:pPr>
        <w:pStyle w:val="Heading1"/>
      </w:pPr>
      <w:r>
        <w:t>Editorial brief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656"/>
        <w:gridCol w:w="2448"/>
        <w:gridCol w:w="2808"/>
      </w:tblGrid>
      <w:tr>
        <w:trPr>
          <w:tblHeader w:val="true"/>
        </w:trPr>
        <w:tc>
          <w:tcPr>
            <w:tcW w:type="dxa" w:w="216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Audience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Intent</w:t>
            </w:r>
          </w:p>
        </w:tc>
        <w:tc>
          <w:tcPr>
            <w:tcW w:type="dxa" w:w="244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Primary topic</w:t>
            </w:r>
          </w:p>
        </w:tc>
        <w:tc>
          <w:tcPr>
            <w:tcW w:type="dxa" w:w="28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Target URL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Retail and hospitality buyers</w:t>
            </w:r>
          </w:p>
        </w:tc>
        <w:tc>
          <w:tcPr>
            <w:tcW w:type="dxa" w:w="165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trade enquiry</w:t>
            </w:r>
          </w:p>
        </w:tc>
        <w:tc>
          <w:tcPr>
            <w:tcW w:type="dxa" w:w="24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Wholesale enquiry guide</w:t>
            </w:r>
          </w:p>
        </w:tc>
        <w:tc>
          <w:tcPr>
            <w:tcW w:type="dxa" w:w="280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https://kakawachocolates.com.au/pages/wholesale</w:t>
            </w:r>
          </w:p>
        </w:tc>
      </w:tr>
    </w:tbl>
    <w:p>
      <w:pPr>
        <w:spacing w:after="0"/>
      </w:pPr>
    </w:p>
    <w:p>
      <w:pPr>
        <w:pStyle w:val="Heading1"/>
      </w:pPr>
      <w:r>
        <w:t>Wholesale enquiry guide</w:t>
      </w:r>
    </w:p>
    <w:p>
      <w:pPr>
        <w:pStyle w:val="Heading2"/>
      </w:pPr>
      <w:r>
        <w:t>Prepare a wholesale-fit conversation</w:t>
      </w:r>
    </w:p>
    <w:p>
      <w:r>
        <w:t>Use this page when your main goal is trade enquiry. Start with the decision you need to make, then confirm current details on the live Kakawa page before acting.</w:t>
      </w:r>
    </w:p>
    <w:p>
      <w:pPr>
        <w:pStyle w:val="Heading2"/>
      </w:pPr>
      <w:r>
        <w:t>What to check</w:t>
      </w:r>
    </w:p>
    <w:p>
      <w:pPr>
        <w:pStyle w:val="ListBullet"/>
      </w:pPr>
      <w:r>
        <w:t>The purpose or occasion</w:t>
      </w:r>
    </w:p>
    <w:p>
      <w:pPr>
        <w:pStyle w:val="ListBullet"/>
      </w:pPr>
      <w:r>
        <w:t>The quantity or range you are considering</w:t>
      </w:r>
    </w:p>
    <w:p>
      <w:pPr>
        <w:pStyle w:val="ListBullet"/>
      </w:pPr>
      <w:r>
        <w:t>Any timing, delivery or collection constraints</w:t>
      </w:r>
    </w:p>
    <w:p>
      <w:pPr>
        <w:pStyle w:val="ListBullet"/>
      </w:pPr>
      <w:r>
        <w:t>The current terms shown on the official page</w:t>
      </w:r>
    </w:p>
    <w:p>
      <w:pPr>
        <w:pStyle w:val="Heading2"/>
      </w:pPr>
      <w:r>
        <w:t>Why current details matter</w:t>
      </w:r>
    </w:p>
    <w:p>
      <w:r>
        <w:t>Availability, product details and operating terms can change. Treat the live page as authoritative and ask Kakawa to confirm anything material to your decision.</w:t>
      </w:r>
    </w:p>
    <w:p>
      <w:pPr>
        <w:pStyle w:val="Heading2"/>
      </w:pPr>
      <w:r>
        <w:t>Next step</w:t>
      </w:r>
    </w:p>
    <w:p>
      <w:r>
        <w:t>Review the current information at https://kakawachocolates.com.au/pages/wholesale and use the contact route shown there if your question is not resolved.</w:t>
      </w:r>
    </w:p>
    <w:p>
      <w:r>
        <w:br w:type="page"/>
      </w:r>
    </w:p>
    <w:p>
      <w:pPr>
        <w:pStyle w:val="Heading1"/>
      </w:pPr>
      <w:r>
        <w:t>Claim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1152"/>
        <w:gridCol w:w="2592"/>
      </w:tblGrid>
      <w:tr>
        <w:trPr>
          <w:tblHeader w:val="true"/>
        </w:trPr>
        <w:tc>
          <w:tcPr>
            <w:tcW w:type="dxa" w:w="388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Claim</w:t>
            </w:r>
          </w:p>
        </w:tc>
        <w:tc>
          <w:tcPr>
            <w:tcW w:type="dxa" w:w="144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Evidence</w:t>
            </w:r>
          </w:p>
        </w:tc>
        <w:tc>
          <w:tcPr>
            <w:tcW w:type="dxa" w:w="115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Confidence</w:t>
            </w:r>
          </w:p>
        </w:tc>
        <w:tc>
          <w:tcPr>
            <w:tcW w:type="dxa" w:w="259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Validation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The official page was observed with the title: Wholesale Enquiries – Kakawa Chocolates Wholesale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EV-0034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The official page exposed a public meta description as of 2026-07-15.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EV-0034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</w:tbl>
    <w:p>
      <w:pPr>
        <w:spacing w:after="0"/>
      </w:pPr>
    </w:p>
    <w:p>
      <w:pPr>
        <w:pStyle w:val="Heading1"/>
      </w:pPr>
      <w:r>
        <w:t>Source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600"/>
        <w:gridCol w:w="1656"/>
        <w:gridCol w:w="2880"/>
      </w:tblGrid>
      <w:tr>
        <w:trPr>
          <w:tblHeader w:val="true"/>
        </w:trPr>
        <w:tc>
          <w:tcPr>
            <w:tcW w:type="dxa" w:w="10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ID</w:t>
            </w:r>
          </w:p>
        </w:tc>
        <w:tc>
          <w:tcPr>
            <w:tcW w:type="dxa" w:w="360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Source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Captured</w:t>
            </w:r>
          </w:p>
        </w:tc>
        <w:tc>
          <w:tcPr>
            <w:tcW w:type="dxa" w:w="288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Scope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8064"/>
      <w:gridCol w:w="1584"/>
    </w:tblGrid>
    <w:tr>
      <w:tc>
        <w:tcPr>
          <w:tcW w:type="dxa" w:w="4824"/>
        </w:tcPr>
        <w:p>
          <w:r>
            <w:rPr>
              <w:rFonts w:ascii="Source Sans 3" w:hAnsi="Source Sans 3"/>
              <w:color w:val="66716D"/>
              <w:sz w:val="15"/>
            </w:rPr>
            <w:t>Evidence before assertion · Private client document</w:t>
          </w:r>
        </w:p>
      </w:tc>
      <w:tc>
        <w:tcPr>
          <w:tcW w:type="dxa" w:w="4824"/>
        </w:tcPr>
        <w:p>
          <w:pPr>
            <w:jc w:val="right"/>
          </w:pPr>
          <w:r>
            <w:rPr>
              <w:rFonts w:ascii="Source Sans 3" w:hAnsi="Source Sans 3"/>
              <w:color w:val="66716D"/>
              <w:sz w:val="15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472"/>
      <w:gridCol w:w="4176"/>
    </w:tblGrid>
    <w:tr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r>
            <w:rPr>
              <w:rFonts w:ascii="Source Sans 3" w:hAnsi="Source Sans 3"/>
              <w:b/>
              <w:color w:val="66716D"/>
              <w:sz w:val="15"/>
            </w:rPr>
            <w:t>TRAFFIC RADIUS</w:t>
          </w:r>
        </w:p>
      </w:tc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pPr>
            <w:jc w:val="right"/>
          </w:pPr>
          <w:r>
            <w:rPr>
              <w:rFonts w:ascii="Source Sans 3" w:hAnsi="Source Sans 3"/>
              <w:b/>
              <w:color w:val="66716D"/>
              <w:sz w:val="15"/>
            </w:rPr>
            <w:t>ENTERPRISE SEO STUDIO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Source Sans 3" w:hAnsi="Source Sans 3" w:eastAsia="Source Sans 3"/>
      <w:color w:val="17201E"/>
      <w:sz w:val="21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Fraunces" w:hAnsi="Fraunces" w:eastAsia="Fraunces"/>
      <w:b/>
      <w:bCs/>
      <w:color w:val="1720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Source Sans 3" w:hAnsi="Source Sans 3" w:eastAsia="Source Sans 3"/>
      <w:b/>
      <w:bCs/>
      <w:color w:val="3E4C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ource Sans 3" w:hAnsi="Source Sans 3" w:eastAsia="Source Sans 3"/>
      <w:b/>
      <w:bCs/>
      <w:color w:val="A15C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Fraunces" w:hAnsi="Fraunces" w:eastAsia="Fraunces"/>
      <w:b w:val="0"/>
      <w:color w:val="17201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Callout">
    <w:name w:val="Evidence Callout"/>
    <w:pPr>
      <w:spacing w:before="160" w:after="200"/>
      <w:ind w:left="288" w:right="288"/>
    </w:pPr>
    <w:rPr>
      <w:rFonts w:ascii="Source Sans 3" w:hAnsi="Source Sans 3"/>
      <w:color w:val="3E4C83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Wholesale enquiry guide</dc:title>
  <dc:subject>Evidence-supported SEO content asset</dc:subject>
  <dc:creator>Traffic Radius</dc:creator>
  <cp:keywords>enterprise SEO, evidence, strategy, approval</cp:keywords>
  <dc:description>Generated from canonical, evidence-linked records.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