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How Kakawa presents its craft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https://kakawachocolates.com.au/pages/how-we-make-chocolate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Quality-conscious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brand education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How Kakawa presents its craft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https://kakawachocolates.com.au/pages/how-we-make-chocolate</w:t>
            </w:r>
          </w:p>
        </w:tc>
      </w:tr>
    </w:tbl>
    <w:p>
      <w:pPr>
        <w:spacing w:after="0"/>
      </w:pPr>
    </w:p>
    <w:p>
      <w:pPr>
        <w:pStyle w:val="Heading1"/>
      </w:pPr>
      <w:r>
        <w:t>How Kakawa presents its craft</w:t>
      </w:r>
    </w:p>
    <w:p>
      <w:pPr>
        <w:pStyle w:val="Heading2"/>
      </w:pPr>
      <w:r>
        <w:t>Explain the craft story without unsupported claims</w:t>
      </w:r>
    </w:p>
    <w:p>
      <w:r>
        <w:t>Use this page when your main goal is brand education.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https://kakawachocolates.com.au/pages/how-we-make-chocolate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How We Make Chocolate – Artisanal Process &amp; Natural Ingredients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Kakawa presents its craft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