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360"/>
      </w:pPr>
      <w:r>
        <w:rPr>
          <w:rFonts w:ascii="Source Sans 3" w:hAnsi="Source Sans 3"/>
          <w:b/>
          <w:color w:val="A15C38"/>
          <w:sz w:val="18"/>
        </w:rPr>
        <w:t>TRAFFIC RADIUS · EVIDENCE-LED DELIVERY</w:t>
      </w:r>
    </w:p>
    <w:p>
      <w:pPr>
        <w:pStyle w:val="Title"/>
      </w:pPr>
      <w:r>
        <w:t>About Kakawa evidence-led page refresh</w:t>
      </w:r>
    </w:p>
    <w:p>
      <w:pPr>
        <w:spacing w:after="560"/>
      </w:pPr>
      <w:r>
        <w:rPr>
          <w:color w:val="66716D"/>
          <w:sz w:val="28"/>
        </w:rPr>
        <w:t>Existing-page content refresh · Target: https://kakawachocolates.com.au/pages/about-us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CLIENT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Kakawa Chocolates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EVIDENCE AS OF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2026-07-15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RUN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KAKAWA-ENT-20260715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STATUS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WITHHELD_PENDING_HUMAN_APPROVAL</w:t>
            </w:r>
          </w:p>
        </w:tc>
      </w:tr>
    </w:tbl>
    <w:p>
      <w:pPr>
        <w:pStyle w:val="EvidenceCallout"/>
        <w:spacing w:before="680"/>
      </w:pPr>
      <w:r>
        <w:t>Measured and derived claims in this document resolve to the evidence register. Unavailable private data is named explicitly; no substitute metrics were invented.</w:t>
      </w:r>
    </w:p>
    <w:p>
      <w:r>
        <w:br w:type="page"/>
      </w:r>
    </w:p>
    <w:p>
      <w:pPr>
        <w:pStyle w:val="Heading1"/>
      </w:pPr>
      <w:r>
        <w:t>Editorial brief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656"/>
        <w:gridCol w:w="2448"/>
        <w:gridCol w:w="2808"/>
      </w:tblGrid>
      <w:tr>
        <w:trPr>
          <w:tblHeader w:val="true"/>
        </w:trPr>
        <w:tc>
          <w:tcPr>
            <w:tcW w:type="dxa" w:w="216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Audience</w:t>
            </w:r>
          </w:p>
        </w:tc>
        <w:tc>
          <w:tcPr>
            <w:tcW w:type="dxa" w:w="1656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Intent</w:t>
            </w:r>
          </w:p>
        </w:tc>
        <w:tc>
          <w:tcPr>
            <w:tcW w:type="dxa" w:w="244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Primary topic</w:t>
            </w:r>
          </w:p>
        </w:tc>
        <w:tc>
          <w:tcPr>
            <w:tcW w:type="dxa" w:w="280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Target URL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Quality-conscious shoppers</w:t>
            </w:r>
          </w:p>
        </w:tc>
        <w:tc>
          <w:tcPr>
            <w:tcW w:type="dxa" w:w="165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brand education</w:t>
            </w:r>
          </w:p>
        </w:tc>
        <w:tc>
          <w:tcPr>
            <w:tcW w:type="dxa" w:w="244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About Kakawa evidence-led page refresh</w:t>
            </w:r>
          </w:p>
        </w:tc>
        <w:tc>
          <w:tcPr>
            <w:tcW w:type="dxa" w:w="280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https://kakawachocolates.com.au/pages/about-us</w:t>
            </w:r>
          </w:p>
        </w:tc>
      </w:tr>
    </w:tbl>
    <w:p>
      <w:pPr>
        <w:spacing w:after="0"/>
      </w:pPr>
    </w:p>
    <w:p>
      <w:pPr>
        <w:pStyle w:val="Heading1"/>
      </w:pPr>
      <w:r>
        <w:t>About Kakawa evidence-led page refresh</w:t>
      </w:r>
    </w:p>
    <w:p>
      <w:pPr>
        <w:pStyle w:val="Heading2"/>
      </w:pPr>
      <w:r>
        <w:t>Explain the observed brand story while keeping changeable facts verified</w:t>
      </w:r>
    </w:p>
    <w:p>
      <w:r>
        <w:t>This page should help quality-conscious shoppers complete one clear job: brand education. Lead with the decision, explain what information is available, and make the next step obvious without adding unverified product or service claims.</w:t>
      </w:r>
    </w:p>
    <w:p>
      <w:r>
        <w:t>The approved crawl observed the page title 'About Us | Kakawa Chocolates | Premium Handmade Chocolates' and the H1 'No H1 was captured' as of 2026-07-15. Those observations establish the page topic; they do not prove pricing, stock, delivery timing, ratings or performance.</w:t>
      </w:r>
    </w:p>
    <w:p>
      <w:pPr>
        <w:pStyle w:val="Heading2"/>
      </w:pPr>
      <w:r>
        <w:t>What the reader needs to decide</w:t>
      </w:r>
    </w:p>
    <w:p>
      <w:pPr>
        <w:pStyle w:val="ListBullet"/>
      </w:pPr>
      <w:r>
        <w:t>The purpose, recipient or occasion</w:t>
      </w:r>
    </w:p>
    <w:p>
      <w:pPr>
        <w:pStyle w:val="ListBullet"/>
      </w:pPr>
      <w:r>
        <w:t>The format or collection that best fits the need</w:t>
      </w:r>
    </w:p>
    <w:p>
      <w:pPr>
        <w:pStyle w:val="ListBullet"/>
      </w:pPr>
      <w:r>
        <w:t>Any quantity, timing, delivery or collection constraints</w:t>
      </w:r>
    </w:p>
    <w:p>
      <w:pPr>
        <w:pStyle w:val="ListBullet"/>
      </w:pPr>
      <w:r>
        <w:t>Which details must be confirmed on the current official page before acting</w:t>
      </w:r>
    </w:p>
    <w:p>
      <w:pPr>
        <w:pStyle w:val="Heading2"/>
      </w:pPr>
      <w:r>
        <w:t>Recommended information order</w:t>
      </w:r>
    </w:p>
    <w:p>
      <w:pPr>
        <w:pStyle w:val="ListBullet"/>
      </w:pPr>
      <w:r>
        <w:t>A concise statement of who the page is for</w:t>
      </w:r>
    </w:p>
    <w:p>
      <w:pPr>
        <w:pStyle w:val="ListBullet"/>
      </w:pPr>
      <w:r>
        <w:t>A scannable explanation of the available decision routes</w:t>
      </w:r>
    </w:p>
    <w:p>
      <w:pPr>
        <w:pStyle w:val="ListBullet"/>
      </w:pPr>
      <w:r>
        <w:t>Current terms and limitations sourced from the live page</w:t>
      </w:r>
    </w:p>
    <w:p>
      <w:pPr>
        <w:pStyle w:val="ListBullet"/>
      </w:pPr>
      <w:r>
        <w:t>Relevant links to supporting collection, delivery, contact or policy pages</w:t>
      </w:r>
    </w:p>
    <w:p>
      <w:pPr>
        <w:pStyle w:val="ListBullet"/>
      </w:pPr>
      <w:r>
        <w:t>A single next action matched to the page intent</w:t>
      </w:r>
    </w:p>
    <w:p>
      <w:pPr>
        <w:pStyle w:val="Heading2"/>
      </w:pPr>
      <w:r>
        <w:t>Trust and evidence controls</w:t>
      </w:r>
    </w:p>
    <w:p>
      <w:r>
        <w:t>Do not add awards, review scores, origin claims, dietary claims, delivery promises, stock statements or performance superlatives unless each one is present in an approved fact pack with an as-of date. Keep volatile details in maintained product or policy components rather than hard-coding them into evergreen copy.</w:t>
      </w:r>
    </w:p>
    <w:p>
      <w:pPr>
        <w:pStyle w:val="Heading2"/>
      </w:pPr>
      <w:r>
        <w:t>Questions this page should answer</w:t>
      </w:r>
    </w:p>
    <w:p>
      <w:pPr>
        <w:pStyle w:val="ListBullet"/>
      </w:pPr>
      <w:r>
        <w:t>Is this the right page for someone researching brand education?</w:t>
      </w:r>
    </w:p>
    <w:p>
      <w:pPr>
        <w:pStyle w:val="ListBullet"/>
      </w:pPr>
      <w:r>
        <w:t>What should the reader compare or prepare before choosing?</w:t>
      </w:r>
    </w:p>
    <w:p>
      <w:pPr>
        <w:pStyle w:val="ListBullet"/>
      </w:pPr>
      <w:r>
        <w:t>Which details can change and therefore require a live check?</w:t>
      </w:r>
    </w:p>
    <w:p>
      <w:pPr>
        <w:pStyle w:val="ListBullet"/>
      </w:pPr>
      <w:r>
        <w:t>Where should the reader go if the page does not resolve the question?</w:t>
      </w:r>
    </w:p>
    <w:p>
      <w:pPr>
        <w:pStyle w:val="Heading2"/>
      </w:pPr>
      <w:r>
        <w:t>Editorial acceptance criteria</w:t>
      </w:r>
    </w:p>
    <w:p>
      <w:pPr>
        <w:pStyle w:val="ListBullet"/>
      </w:pPr>
      <w:r>
        <w:t>One accountable search intent and one canonical target URL</w:t>
      </w:r>
    </w:p>
    <w:p>
      <w:pPr>
        <w:pStyle w:val="ListBullet"/>
      </w:pPr>
      <w:r>
        <w:t>No unsupported claims or fabricated metrics</w:t>
      </w:r>
    </w:p>
    <w:p>
      <w:pPr>
        <w:pStyle w:val="ListBullet"/>
      </w:pPr>
      <w:r>
        <w:t>Descriptive internal-link anchors that match the destination</w:t>
      </w:r>
    </w:p>
    <w:p>
      <w:pPr>
        <w:pStyle w:val="ListBullet"/>
      </w:pPr>
      <w:r>
        <w:t>Accessible headings, plain language and a clear next step</w:t>
      </w:r>
    </w:p>
    <w:p>
      <w:pPr>
        <w:pStyle w:val="ListBullet"/>
      </w:pPr>
      <w:r>
        <w:t>Human editorial approval before publication</w:t>
      </w:r>
    </w:p>
    <w:p>
      <w:pPr>
        <w:pStyle w:val="Heading2"/>
      </w:pPr>
      <w:r>
        <w:t>Next step</w:t>
      </w:r>
    </w:p>
    <w:p>
      <w:r>
        <w:t>Review the current information at https://kakawachocolates.com.au/pages/about-us. Confirm all changeable details on the live page, then route unresolved questions through the contact or enquiry path displayed by Kakawa.</w:t>
      </w:r>
    </w:p>
    <w:p>
      <w:r>
        <w:br w:type="page"/>
      </w:r>
    </w:p>
    <w:p>
      <w:pPr>
        <w:pStyle w:val="Heading1"/>
      </w:pPr>
      <w:r>
        <w:t>Claim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1440"/>
        <w:gridCol w:w="1152"/>
        <w:gridCol w:w="2592"/>
      </w:tblGrid>
      <w:tr>
        <w:trPr>
          <w:tblHeader w:val="true"/>
        </w:trPr>
        <w:tc>
          <w:tcPr>
            <w:tcW w:type="dxa" w:w="388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Claim</w:t>
            </w:r>
          </w:p>
        </w:tc>
        <w:tc>
          <w:tcPr>
            <w:tcW w:type="dxa" w:w="144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Evidence</w:t>
            </w:r>
          </w:p>
        </w:tc>
        <w:tc>
          <w:tcPr>
            <w:tcW w:type="dxa" w:w="1152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Confidence</w:t>
            </w:r>
          </w:p>
        </w:tc>
        <w:tc>
          <w:tcPr>
            <w:tcW w:type="dxa" w:w="2592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Validation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The official page was observed with the title: About Us | Kakawa Chocolates | Premium Handmade Chocolates</w:t>
            </w:r>
          </w:p>
        </w:tc>
        <w:tc>
          <w:tcPr>
            <w:tcW w:type="dxa" w:w="144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EV-0020</w:t>
            </w:r>
          </w:p>
        </w:tc>
        <w:tc>
          <w:tcPr>
            <w:tcW w:type="dxa" w:w="115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100%</w:t>
            </w:r>
          </w:p>
        </w:tc>
        <w:tc>
          <w:tcPr>
            <w:tcW w:type="dxa" w:w="259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supported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The page was captured successfully on the approved .com.au domain as of 2026-07-15.</w:t>
            </w:r>
          </w:p>
        </w:tc>
        <w:tc>
          <w:tcPr>
            <w:tcW w:type="dxa" w:w="144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EV-0020</w:t>
            </w:r>
          </w:p>
        </w:tc>
        <w:tc>
          <w:tcPr>
            <w:tcW w:type="dxa" w:w="115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100%</w:t>
            </w:r>
          </w:p>
        </w:tc>
        <w:tc>
          <w:tcPr>
            <w:tcW w:type="dxa" w:w="259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supported</w:t>
            </w:r>
          </w:p>
        </w:tc>
      </w:tr>
    </w:tbl>
    <w:p>
      <w:pPr>
        <w:spacing w:after="0"/>
      </w:pPr>
    </w:p>
    <w:p>
      <w:pPr>
        <w:pStyle w:val="Heading1"/>
      </w:pPr>
      <w:r>
        <w:t>Source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3600"/>
        <w:gridCol w:w="1656"/>
        <w:gridCol w:w="2880"/>
      </w:tblGrid>
      <w:tr>
        <w:trPr>
          <w:tblHeader w:val="true"/>
        </w:trPr>
        <w:tc>
          <w:tcPr>
            <w:tcW w:type="dxa" w:w="100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ID</w:t>
            </w:r>
          </w:p>
        </w:tc>
        <w:tc>
          <w:tcPr>
            <w:tcW w:type="dxa" w:w="360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Source</w:t>
            </w:r>
          </w:p>
        </w:tc>
        <w:tc>
          <w:tcPr>
            <w:tcW w:type="dxa" w:w="1656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Captured</w:t>
            </w:r>
          </w:p>
        </w:tc>
        <w:tc>
          <w:tcPr>
            <w:tcW w:type="dxa" w:w="288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Scope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8064"/>
      <w:gridCol w:w="1584"/>
    </w:tblGrid>
    <w:tr>
      <w:tc>
        <w:tcPr>
          <w:tcW w:type="dxa" w:w="4824"/>
        </w:tcPr>
        <w:p>
          <w:r>
            <w:rPr>
              <w:rFonts w:ascii="Source Sans 3" w:hAnsi="Source Sans 3"/>
              <w:color w:val="66716D"/>
              <w:sz w:val="15"/>
            </w:rPr>
            <w:t>Evidence before assertion · Private client document</w:t>
          </w:r>
        </w:p>
      </w:tc>
      <w:tc>
        <w:tcPr>
          <w:tcW w:type="dxa" w:w="4824"/>
        </w:tcPr>
        <w:p>
          <w:pPr>
            <w:jc w:val="right"/>
          </w:pPr>
          <w:r>
            <w:rPr>
              <w:rFonts w:ascii="Source Sans 3" w:hAnsi="Source Sans 3"/>
              <w:color w:val="66716D"/>
              <w:sz w:val="15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472"/>
      <w:gridCol w:w="4176"/>
    </w:tblGrid>
    <w:tr>
      <w:tc>
        <w:tcPr>
          <w:tcW w:type="dxa" w:w="4824"/>
          <w:tcMar>
            <w:top w:w="0" w:type="dxa"/>
            <w:start w:w="0" w:type="dxa"/>
            <w:bottom w:w="40" w:type="dxa"/>
            <w:end w:w="0" w:type="dxa"/>
          </w:tcMar>
        </w:tcPr>
        <w:p>
          <w:r>
            <w:rPr>
              <w:rFonts w:ascii="Source Sans 3" w:hAnsi="Source Sans 3"/>
              <w:b/>
              <w:color w:val="66716D"/>
              <w:sz w:val="15"/>
            </w:rPr>
            <w:t>TRAFFIC RADIUS</w:t>
          </w:r>
        </w:p>
      </w:tc>
      <w:tc>
        <w:tcPr>
          <w:tcW w:type="dxa" w:w="4824"/>
          <w:tcMar>
            <w:top w:w="0" w:type="dxa"/>
            <w:start w:w="0" w:type="dxa"/>
            <w:bottom w:w="40" w:type="dxa"/>
            <w:end w:w="0" w:type="dxa"/>
          </w:tcMar>
        </w:tcPr>
        <w:p>
          <w:pPr>
            <w:jc w:val="right"/>
          </w:pPr>
          <w:r>
            <w:rPr>
              <w:rFonts w:ascii="Source Sans 3" w:hAnsi="Source Sans 3"/>
              <w:b/>
              <w:color w:val="66716D"/>
              <w:sz w:val="15"/>
            </w:rPr>
            <w:t>ENTERPRISE SEO STUDIO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Source Sans 3" w:hAnsi="Source Sans 3" w:eastAsia="Source Sans 3"/>
      <w:color w:val="17201E"/>
      <w:sz w:val="21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Fraunces" w:hAnsi="Fraunces" w:eastAsia="Fraunces"/>
      <w:b/>
      <w:bCs/>
      <w:color w:val="17201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Source Sans 3" w:hAnsi="Source Sans 3" w:eastAsia="Source Sans 3"/>
      <w:b/>
      <w:bCs/>
      <w:color w:val="3E4C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Source Sans 3" w:hAnsi="Source Sans 3" w:eastAsia="Source Sans 3"/>
      <w:b/>
      <w:bCs/>
      <w:color w:val="A15C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Fraunces" w:hAnsi="Fraunces" w:eastAsia="Fraunces"/>
      <w:b w:val="0"/>
      <w:color w:val="17201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Callout">
    <w:name w:val="Evidence Callout"/>
    <w:pPr>
      <w:spacing w:before="160" w:after="200"/>
      <w:ind w:left="288" w:right="288"/>
    </w:pPr>
    <w:rPr>
      <w:rFonts w:ascii="Source Sans 3" w:hAnsi="Source Sans 3"/>
      <w:color w:val="3E4C83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 Kakawa evidence-led page refresh</dc:title>
  <dc:subject>Evidence-supported SEO content asset</dc:subject>
  <dc:creator>Traffic Radius</dc:creator>
  <cp:keywords>enterprise SEO, evidence, strategy, approval</cp:keywords>
  <dc:description>Generated from canonical, evidence-linked records.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