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Ingredients and ethics information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https://kakawachocolates.com.au/pages/our-ingredients-and-ethics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Ingredient-conscious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trust and product education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Ingredients and ethics information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https://kakawachocolates.com.au/pages/our-ingredients-and-ethics</w:t>
            </w:r>
          </w:p>
        </w:tc>
      </w:tr>
    </w:tbl>
    <w:p>
      <w:pPr>
        <w:spacing w:after="0"/>
      </w:pPr>
    </w:p>
    <w:p>
      <w:pPr>
        <w:pStyle w:val="Heading1"/>
      </w:pPr>
      <w:r>
        <w:t>Ingredients and ethics information guide</w:t>
      </w:r>
    </w:p>
    <w:p>
      <w:pPr>
        <w:pStyle w:val="Heading2"/>
      </w:pPr>
      <w:r>
        <w:t>Make the official evidence easier to evaluate</w:t>
      </w:r>
    </w:p>
    <w:p>
      <w:r>
        <w:t>This page should help ingredient-conscious shoppers complete one clear job: trust and product education. Lead with the decision, explain what information is available, and make the next step obvious without adding unverified product or service claims.</w:t>
      </w:r>
    </w:p>
    <w:p>
      <w:r>
        <w:t>The approved crawl observed the page title 'Our Ingredients and Ethics | Kakawa Chocolates' and the H1 'Our Ingredients &amp; Ethics'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trust and product education?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https://kakawachocolates.com.au/pages/our-ingredients-and-ethics.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Our Ingredients and Ethics |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EV-0026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EV-0026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Ingredients and ethics information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