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To:</w:t>
      </w:r>
    </w:p>
    <w:p>
      <w:pPr>
        <w:pStyle w:val="PreformattedText"/>
        <w:bidi w:val="0"/>
        <w:spacing w:before="0" w:after="0"/>
        <w:jc w:val="left"/>
        <w:rPr/>
      </w:pPr>
      <w:r>
        <w:rPr/>
        <w:t>Editor-in-Chief</w:t>
      </w:r>
    </w:p>
    <w:p>
      <w:pPr>
        <w:pStyle w:val="PreformattedText"/>
        <w:bidi w:val="0"/>
        <w:spacing w:before="0" w:after="0"/>
        <w:jc w:val="left"/>
        <w:rPr/>
      </w:pPr>
      <w:r>
        <w:rPr/>
        <w:t>Biomedical Signal Processing and Control (BSPC)</w:t>
      </w:r>
    </w:p>
    <w:p>
      <w:pPr>
        <w:pStyle w:val="PreformattedText"/>
        <w:bidi w:val="0"/>
        <w:spacing w:before="0" w:after="0"/>
        <w:jc w:val="left"/>
        <w:rPr/>
      </w:pPr>
      <w:r>
        <w:rPr/>
        <w:t>Elsevier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Subject: Submission of Original Research Manuscript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Dear Editor-in-Chief and Editorial Board,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We are pleased to submit our original research manuscript titled:</w:t>
      </w:r>
    </w:p>
    <w:p>
      <w:pPr>
        <w:pStyle w:val="PreformattedText"/>
        <w:bidi w:val="0"/>
        <w:spacing w:before="0" w:after="0"/>
        <w:jc w:val="left"/>
        <w:rPr/>
      </w:pPr>
      <w:r>
        <w:rPr/>
        <w:t>"End-to-End Deep Representation Learning and Computer Vision for Objective Hearing Screening via Auditory-Evoked Pupillary Responses"</w:t>
      </w:r>
    </w:p>
    <w:p>
      <w:pPr>
        <w:pStyle w:val="PreformattedText"/>
        <w:bidi w:val="0"/>
        <w:spacing w:before="0" w:after="0"/>
        <w:jc w:val="left"/>
        <w:rPr/>
      </w:pPr>
      <w:r>
        <w:rPr/>
        <w:t>for consideration as a Full Length Article in Biomedical Signal Processing and Control (BSPC).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Universal newborn and pediatric hearing screening currently relies on Automated Auditory Brainstem Responses (AABR) and Otoacoustic Emissions (TEOAE), both of which suffer from practical bottlenecks: skin abrasion, probe dislodgement, susceptibility to ear canal vernix, and expensive hardware. The Auditory-Evoked Pupillary Response (AEPR), governed by the subcortical Locus Coeruleus-Norepinephrine (LC-NE) system, provides a non-invasive optical alternative. However, its adoption has been hampered by heuristic thresholds, vulnerability to motion artifacts, and subject leakage in prior studies.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In this work, we present an end-to-end, reproducible deep learning and computer vision framework for single-trial acoustic salience detection: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Standardized, Leakage-Free Benchmark: Across three multi-site cohorts (N=66, N=19, N=6; 21,164 single-trial epochs), we enforce strictly subject-independent 5-fold cross-validation (StratifiedGroupKFold).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Deep Signal Architecture SOTA: Benchmarking classical models against Multi-Scale 1D-CNNs, Dilated TCNs, Bi-LSTMs with Bahdanau attention, and CNN-Transformers, our CNN-Transformer achieves state-of-the-art ROC-AUC of 0.844 (95% CI: [0.835, 0.853]) and PR-AUC of 0.512 (a 4.2x gain over the 0.122 chance baseline; DeLong paired test Z = 9.48, p &lt; 10^-15).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Physiological Saliency Discovery: Temporal self-attention autonomously isolates the primary discriminative window at t in [0.8s, 2.2s], faithfully mirroring human LC-NE autonomic dilation kinetics.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50% Latency Reduction: Observation windows can be truncated to t = 1.5s while preserving ~96% of maximal screening accuracy.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Commodity Hardware Feasibility: Direct least-squares ellipse fitting on 30 fps eye video achieves Pearson r = 0.991 (p &lt; 10^-15) against research-grade infrared eye-trackers.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manuscript aligns squarely with the scope of Biomedical Signal Processing and Control, specifically advancing physiological time-series modeling, signal decontamination, and neural network classification for diagnostic biosignals.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work is entirely original, has not been published elsewhere, and is not currently under consideration by any other journal. All authors have approved the submission.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Thank you for your time and consideration of our work.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Sincerely,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Raju Sah</w:t>
      </w:r>
    </w:p>
    <w:p>
      <w:pPr>
        <w:pStyle w:val="PreformattedText"/>
        <w:bidi w:val="0"/>
        <w:spacing w:before="0" w:after="0"/>
        <w:jc w:val="left"/>
        <w:rPr/>
      </w:pPr>
      <w:r>
        <w:rPr/>
        <w:t>Department of Computer Engineering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Cosmos College of Management and Technology, Pokhara University</w:t>
      </w:r>
    </w:p>
    <w:p>
      <w:pPr>
        <w:pStyle w:val="PreformattedText"/>
        <w:bidi w:val="0"/>
        <w:spacing w:before="0" w:after="0"/>
        <w:jc w:val="left"/>
        <w:rPr/>
      </w:pPr>
      <w:r>
        <w:rPr/>
        <w:t>Kathmandu, Nepal</w:t>
      </w:r>
    </w:p>
    <w:p>
      <w:pPr>
        <w:pStyle w:val="PreformattedText"/>
        <w:bidi w:val="0"/>
        <w:spacing w:before="0" w:after="0"/>
        <w:jc w:val="left"/>
        <w:rPr/>
      </w:pPr>
      <w:r>
        <w:rPr/>
        <w:t>Email: rajucode7@gmail.com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79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