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Online Safety Act 2021</w:t>
      </w:r>
    </w:p>
    <w:p>
      <w:r>
        <w:t>Section 36 Reporting pathways for serious online abuse.</w:t>
      </w:r>
    </w:p>
    <w:p>
      <w:r>
        <w:t>Approved complaint pathways may include eSafety reporting.</w:t>
      </w:r>
    </w:p>
    <w:sectPr>
      <w:pgSz w:w="12240" w:h="15840"/>
      <w:pgMar w:top="1440" w:right="1440" w:bottom="1440" w:left="1440" w:header="708" w:footer="708" w:gutter="0"/>
    </w:sectPr>
  </w:body>
</w:document>
</file>