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Online Safety Act 2021</w:t>
      </w:r>
    </w:p>
    <w:p>
      <w:r>
        <w:t xml:space="preserve">Section 36 reporting pathways for serious online abuse and harmful online conduct.</w:t>
      </w:r>
    </w:p>
    <w:p>
      <w:r>
        <w:t xml:space="preserve">Approved complaint pathways may include eSafety reporting, platform reporting, evidence preservation, and safety-focused referrals where appropriate.</w:t>
      </w:r>
    </w:p>
    <w:p>
      <w:r>
        <w:t xml:space="preserve">This guidance source describes how users can document online abuse, keep copies of messages, preserve URLs, and use official support pathways safely and consistently. This guidance source describes how users can document online abuse, keep copies of messages, preserve URLs, and use official support pathways safely and consistently. This guidance source describes how users can document online abuse, keep copies of messages, preserve URLs, and use official support pathways safely and consistently. This guidance source describes how users can document online abuse, keep copies of messages, preserve URLs, and use official support pathways safely and consistently. </w:t>
      </w:r>
    </w:p>
    <w:sectPr>
      <w:pgSz w:w="12240" w:h="15840"/>
      <w:pgMar w:top="1440" w:right="1440" w:bottom="1440" w:left="1440" w:header="708" w:footer="708" w:gutter="0"/>
    </w:sectPr>
  </w:body>
</w:document>
</file>