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44"/>
        </w:rPr>
        <w:t>Resume Bullet Optimizer Agent</w:t>
      </w:r>
    </w:p>
    <w:p>
      <w:pPr>
        <w:spacing w:after="200"/>
        <w:pBdr>
          <w:bottom w:val="single" w:sz="8" w:space="4" w:color="1F4E79"/>
        </w:pBdr>
      </w:pPr>
      <w:r>
        <w:rPr>
          <w:color w:val="595959"/>
          <w:sz w:val="26"/>
        </w:rPr>
        <w:t>Product Requirements Document — v1</w:t>
      </w:r>
    </w:p>
    <w:p>
      <w:pPr>
        <w:spacing w:after="120"/>
      </w:pPr>
      <w:r>
        <w:rPr>
          <w:b/>
        </w:rPr>
        <w:t>Owner:</w:t>
      </w:r>
      <w:r>
        <w:t xml:space="preserve"> Raju    ·    </w:t>
      </w:r>
      <w:r>
        <w:rPr>
          <w:b/>
        </w:rPr>
        <w:t>Date:</w:t>
      </w:r>
      <w:r>
        <w:t xml:space="preserve"> July 2026    ·    </w:t>
      </w:r>
      <w:r>
        <w:rPr>
          <w:b/>
        </w:rPr>
        <w:t>Status:</w:t>
      </w:r>
      <w:r>
        <w:t xml:space="preserve"> Draft for build</w:t>
      </w:r>
    </w:p>
    <w:p>
      <w:pPr>
        <w:spacing w:after="280"/>
      </w:pPr>
      <w:r>
        <w:rPr>
          <w:b/>
        </w:rPr>
        <w:t>Supersedes:</w:t>
      </w:r>
      <w:r>
        <w:t xml:space="preserve"> Resume_Bullet_Optimizer_Agent_Plan.docx (architecture doc — carried forward where noted)</w:t>
      </w:r>
    </w:p>
    <w:p>
      <w:pPr>
        <w:pStyle w:val="Heading1"/>
      </w:pPr>
      <w:r>
        <w:t>1. Problem</w:t>
      </w:r>
    </w:p>
    <w:p>
      <w:pPr>
        <w:spacing w:after="120"/>
      </w:pPr>
      <w:r>
        <w:t xml:space="preserve">PM job seekers get screened out at the resume stage, and they can’t tell why. The bullets on their resume describe </w:t>
      </w:r>
      <w:r>
        <w:rPr>
          <w:i/>
        </w:rPr>
        <w:t>responsibilities</w:t>
      </w:r>
      <w:r>
        <w:t xml:space="preserve"> ("Managed the roadmap for the payments product") rather than </w:t>
      </w:r>
      <w:r>
        <w:rPr>
          <w:i/>
        </w:rPr>
        <w:t>demonstrated competency with evidence</w:t>
      </w:r>
      <w:r>
        <w:t xml:space="preserve"> ("Cut payment failure rate 34% by re-sequencing the retry logic roadmap with eng"). They know the bullets are weak. They don’t know which ones, what dimension they’re weak on, or what a strong version would look like given the facts they actually have.</w:t>
      </w:r>
    </w:p>
    <w:p>
      <w:pPr>
        <w:spacing w:after="120"/>
      </w:pPr>
      <w:r>
        <w:t>Existing tools are either generic AI rewriters that fabricate metrics, or paid ATS scanners that return a keyword-match percentage with no explanation of methodology.</w:t>
      </w:r>
    </w:p>
    <w:p>
      <w:pPr>
        <w:pStyle w:val="Heading1"/>
      </w:pPr>
      <w:r>
        <w:t>2. User</w:t>
      </w:r>
    </w:p>
    <w:p>
      <w:pPr>
        <w:spacing w:after="120"/>
      </w:pPr>
      <w:r>
        <w:rPr>
          <w:b/>
        </w:rPr>
        <w:t>Primary: PM job seekers</w:t>
      </w:r>
      <w:r>
        <w:t xml:space="preserve"> — mid-level to senior, applying to product roles, resume already exists in some form.</w:t>
      </w:r>
    </w:p>
    <w:p>
      <w:pPr>
        <w:spacing w:after="120"/>
      </w:pPr>
      <w:r>
        <w:t>Narrowing to PM (rather than all knowledge work) is a deliberate scope decision. It lets us hardcode a PM competency model, a PM-specific STAR rubric, and a PM keyword taxonomy. Generic rewriting produces generic bullets; the narrowing is what makes the output good.</w:t>
      </w:r>
    </w:p>
    <w:p>
      <w:pPr>
        <w:spacing w:after="120"/>
      </w:pPr>
      <w:r>
        <w:rPr>
          <w:b/>
        </w:rPr>
        <w:t>Jobs to be done:</w:t>
      </w:r>
    </w:p>
    <w:p>
      <w:pPr>
        <w:pStyle w:val="ListNumber"/>
        <w:spacing w:after="60"/>
      </w:pPr>
      <w:r>
        <w:t>"Tell me which of my bullets are actually weak, and why."</w:t>
      </w:r>
    </w:p>
    <w:p>
      <w:pPr>
        <w:pStyle w:val="ListNumber"/>
        <w:spacing w:after="60"/>
      </w:pPr>
      <w:r>
        <w:t>"Rewrite them without making anything up."</w:t>
      </w:r>
    </w:p>
    <w:p>
      <w:pPr>
        <w:pStyle w:val="ListNumber"/>
        <w:spacing w:after="60"/>
      </w:pPr>
      <w:r>
        <w:t>"Tell me what my resume is missing for the roles I want."</w:t>
      </w:r>
    </w:p>
    <w:p>
      <w:pPr>
        <w:pStyle w:val="Heading1"/>
      </w:pPr>
      <w:r>
        <w:t>3. Goals / Non-goals</w:t>
      </w:r>
    </w:p>
    <w:p>
      <w:pPr>
        <w:pStyle w:val="Heading3"/>
      </w:pPr>
      <w:r>
        <w:t>Goals</w:t>
      </w:r>
    </w:p>
    <w:p>
      <w:pPr>
        <w:pStyle w:val="ListBullet"/>
        <w:spacing w:after="60"/>
      </w:pPr>
      <w:r>
        <w:t>Autonomous end-to-end run: user provides input once, reviews finished output.</w:t>
      </w:r>
    </w:p>
    <w:p>
      <w:pPr>
        <w:pStyle w:val="ListBullet"/>
        <w:spacing w:after="60"/>
      </w:pPr>
      <w:r>
        <w:t>Every rewritten bullet is traceable to a claim in the user’s source documents.</w:t>
      </w:r>
    </w:p>
    <w:p>
      <w:pPr>
        <w:pStyle w:val="ListBullet"/>
        <w:spacing w:after="60"/>
      </w:pPr>
      <w:r>
        <w:t>Every score shown to the user has a derivation the user (and Raju, on demo day) can explain.</w:t>
      </w:r>
    </w:p>
    <w:p>
      <w:pPr>
        <w:pStyle w:val="ListBullet"/>
        <w:spacing w:after="60"/>
      </w:pPr>
      <w:r>
        <w:t>The agent self-evaluates and self-corrects before presenting results.</w:t>
      </w:r>
    </w:p>
    <w:p>
      <w:pPr>
        <w:pStyle w:val="Heading3"/>
      </w:pPr>
      <w:r>
        <w:t>Non-goals (v1)</w:t>
      </w:r>
    </w:p>
    <w:p>
      <w:pPr>
        <w:pStyle w:val="ListBullet"/>
        <w:spacing w:after="60"/>
      </w:pPr>
      <w:r>
        <w:t>Mock interview / question generation (Module A — future)</w:t>
      </w:r>
    </w:p>
    <w:p>
      <w:pPr>
        <w:pStyle w:val="ListBullet"/>
        <w:spacing w:after="60"/>
      </w:pPr>
      <w:r>
        <w:t>Session history, login, persistence</w:t>
      </w:r>
    </w:p>
    <w:p>
      <w:pPr>
        <w:pStyle w:val="ListBullet"/>
        <w:spacing w:after="60"/>
      </w:pPr>
      <w:r>
        <w:t>Multi-agent orchestration (single agent, multiple tools)</w:t>
      </w:r>
    </w:p>
    <w:p>
      <w:pPr>
        <w:pStyle w:val="ListBullet"/>
        <w:spacing w:after="60"/>
      </w:pPr>
      <w:r>
        <w:t>Full resume rewriting — bullets only, not summary/education/formatting</w:t>
      </w:r>
    </w:p>
    <w:p>
      <w:pPr>
        <w:pStyle w:val="ListBullet"/>
        <w:spacing w:after="60"/>
      </w:pPr>
      <w:r>
        <w:t>Non-PM roles</w:t>
      </w:r>
    </w:p>
    <w:p>
      <w:pPr>
        <w:pStyle w:val="Heading1"/>
      </w:pPr>
      <w:r>
        <w:t>4. Success metrics</w:t>
      </w:r>
    </w:p>
    <w:p>
      <w:pPr>
        <w:pStyle w:val="Heading3"/>
      </w:pPr>
      <w:r>
        <w:t>Quality — the metrics that validate the architecture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3370"/>
            <w:shd w:val="clear" w:fill="1F4E79"/>
          </w:tcPr>
          <w:p>
            <w:pPr>
              <w:spacing w:after="40"/>
            </w:pPr>
            <w:r>
              <w:rPr>
                <w:b/>
                <w:color w:val="FFFFFF"/>
                <w:sz w:val="19"/>
              </w:rPr>
              <w:t>Metric</w:t>
            </w:r>
          </w:p>
        </w:tc>
        <w:tc>
          <w:tcPr>
            <w:tcW w:type="dxa" w:w="2434"/>
            <w:shd w:val="clear" w:fill="1F4E79"/>
          </w:tcPr>
          <w:p>
            <w:pPr>
              <w:spacing w:after="40"/>
            </w:pPr>
            <w:r>
              <w:rPr>
                <w:b/>
                <w:color w:val="FFFFFF"/>
                <w:sz w:val="19"/>
              </w:rPr>
              <w:t>Target</w:t>
            </w:r>
          </w:p>
        </w:tc>
        <w:tc>
          <w:tcPr>
            <w:tcW w:type="dxa" w:w="3557"/>
            <w:shd w:val="clear" w:fill="1F4E79"/>
          </w:tcPr>
          <w:p>
            <w:pPr>
              <w:spacing w:after="40"/>
            </w:pPr>
            <w:r>
              <w:rPr>
                <w:b/>
                <w:color w:val="FFFFFF"/>
                <w:sz w:val="19"/>
              </w:rPr>
              <w:t>How measured</w:t>
            </w:r>
          </w:p>
        </w:tc>
      </w:tr>
      <w:tr>
        <w:tc>
          <w:tcPr>
            <w:tcW w:type="dxa" w:w="3370"/>
          </w:tcPr>
          <w:p>
            <w:pPr>
              <w:spacing w:after="40"/>
            </w:pPr>
            <w:r>
              <w:rPr>
                <w:sz w:val="19"/>
              </w:rPr>
              <w:t>Self-scorer agreement with human labels</w:t>
            </w:r>
          </w:p>
        </w:tc>
        <w:tc>
          <w:tcPr>
            <w:tcW w:type="dxa" w:w="2434"/>
          </w:tcPr>
          <w:p>
            <w:pPr>
              <w:spacing w:after="40"/>
            </w:pPr>
            <w:r>
              <w:rPr>
                <w:sz w:val="19"/>
              </w:rPr>
              <w:t>≥80% on accept/reject</w:t>
            </w:r>
          </w:p>
        </w:tc>
        <w:tc>
          <w:tcPr>
            <w:tcW w:type="dxa" w:w="3557"/>
          </w:tcPr>
          <w:p>
            <w:pPr>
              <w:spacing w:after="40"/>
            </w:pPr>
            <w:r>
              <w:rPr>
                <w:sz w:val="19"/>
              </w:rPr>
              <w:t>Golden set (§8)</w:t>
            </w:r>
          </w:p>
        </w:tc>
      </w:tr>
      <w:tr>
        <w:tc>
          <w:tcPr>
            <w:tcW w:type="dxa" w:w="3370"/>
            <w:shd w:val="clear" w:fill="F2F6FA"/>
          </w:tcPr>
          <w:p>
            <w:pPr>
              <w:spacing w:after="40"/>
            </w:pPr>
            <w:r>
              <w:rPr>
                <w:sz w:val="19"/>
              </w:rPr>
              <w:t>First-pass acceptance rate</w:t>
            </w:r>
          </w:p>
        </w:tc>
        <w:tc>
          <w:tcPr>
            <w:tcW w:type="dxa" w:w="2434"/>
            <w:shd w:val="clear" w:fill="F2F6FA"/>
          </w:tcPr>
          <w:p>
            <w:pPr>
              <w:spacing w:after="40"/>
            </w:pPr>
            <w:r>
              <w:rPr>
                <w:sz w:val="19"/>
              </w:rPr>
              <w:t>60–75%</w:t>
            </w:r>
          </w:p>
        </w:tc>
        <w:tc>
          <w:tcPr>
            <w:tcW w:type="dxa" w:w="3557"/>
            <w:shd w:val="clear" w:fill="F2F6FA"/>
          </w:tcPr>
          <w:p>
            <w:pPr>
              <w:spacing w:after="40"/>
            </w:pPr>
            <w:r>
              <w:rPr>
                <w:sz w:val="19"/>
              </w:rPr>
              <w:t>Instrumented across runs</w:t>
            </w:r>
          </w:p>
        </w:tc>
      </w:tr>
      <w:tr>
        <w:tc>
          <w:tcPr>
            <w:tcW w:type="dxa" w:w="3370"/>
          </w:tcPr>
          <w:p>
            <w:pPr>
              <w:spacing w:after="40"/>
            </w:pPr>
            <w:r>
              <w:rPr>
                <w:sz w:val="19"/>
              </w:rPr>
              <w:t>Fabrication rate</w:t>
            </w:r>
          </w:p>
        </w:tc>
        <w:tc>
          <w:tcPr>
            <w:tcW w:type="dxa" w:w="2434"/>
          </w:tcPr>
          <w:p>
            <w:pPr>
              <w:spacing w:after="40"/>
            </w:pPr>
            <w:r>
              <w:rPr>
                <w:sz w:val="19"/>
              </w:rPr>
              <w:t>0</w:t>
            </w:r>
          </w:p>
        </w:tc>
        <w:tc>
          <w:tcPr>
            <w:tcW w:type="dxa" w:w="3557"/>
          </w:tcPr>
          <w:p>
            <w:pPr>
              <w:spacing w:after="40"/>
            </w:pPr>
            <w:r>
              <w:rPr>
                <w:sz w:val="19"/>
              </w:rPr>
              <w:t>Manual audit, 50 bullets</w:t>
            </w:r>
          </w:p>
        </w:tc>
      </w:tr>
      <w:tr>
        <w:tc>
          <w:tcPr>
            <w:tcW w:type="dxa" w:w="3370"/>
            <w:shd w:val="clear" w:fill="F2F6FA"/>
          </w:tcPr>
          <w:p>
            <w:pPr>
              <w:spacing w:after="40"/>
            </w:pPr>
            <w:r>
              <w:rPr>
                <w:sz w:val="19"/>
              </w:rPr>
              <w:t>Blind human preference (original vs optimized)</w:t>
            </w:r>
          </w:p>
        </w:tc>
        <w:tc>
          <w:tcPr>
            <w:tcW w:type="dxa" w:w="2434"/>
            <w:shd w:val="clear" w:fill="F2F6FA"/>
          </w:tcPr>
          <w:p>
            <w:pPr>
              <w:spacing w:after="40"/>
            </w:pPr>
            <w:r>
              <w:rPr>
                <w:sz w:val="19"/>
              </w:rPr>
              <w:t>≥70% prefer optimized</w:t>
            </w:r>
          </w:p>
        </w:tc>
        <w:tc>
          <w:tcPr>
            <w:tcW w:type="dxa" w:w="3557"/>
            <w:shd w:val="clear" w:fill="F2F6FA"/>
          </w:tcPr>
          <w:p>
            <w:pPr>
              <w:spacing w:after="40"/>
            </w:pPr>
            <w:r>
              <w:rPr>
                <w:sz w:val="19"/>
              </w:rPr>
              <w:t>Manual, 30 pairs</w:t>
            </w:r>
          </w:p>
        </w:tc>
      </w:tr>
    </w:tbl>
    <w:p>
      <w:pPr>
        <w:spacing w:after="80"/>
      </w:pPr>
    </w:p>
    <w:p>
      <w:pPr>
        <w:spacing w:after="120"/>
      </w:pPr>
      <w:r>
        <w:t>First-pass acceptance is a self-diagnostic, not a goal to maximize. ~95% means the scorer is too lenient; ~30% means the rewriter is bad. The band is the signal.</w:t>
      </w:r>
    </w:p>
    <w:p>
      <w:pPr>
        <w:pStyle w:val="Heading3"/>
      </w:pPr>
      <w:r>
        <w:t>Product</w:t>
      </w:r>
    </w:p>
    <w:tbl>
      <w:tblPr>
        <w:tblStyle w:val="TableGrid"/>
        <w:tblW w:type="auto" w:w="0"/>
        <w:jc w:val="left"/>
        <w:tblLayout w:type="fixed"/>
        <w:tblLook w:firstColumn="1" w:firstRow="1" w:lastColumn="0" w:lastRow="0" w:noHBand="0" w:noVBand="1" w:val="04A0"/>
      </w:tblPr>
      <w:tblGrid>
        <w:gridCol w:w="4680"/>
        <w:gridCol w:w="4680"/>
      </w:tblGrid>
      <w:tr>
        <w:trPr>
          <w:tblHeader/>
        </w:trPr>
        <w:tc>
          <w:tcPr>
            <w:tcW w:type="dxa" w:w="6365"/>
            <w:shd w:val="clear" w:fill="1F4E79"/>
          </w:tcPr>
          <w:p>
            <w:pPr>
              <w:spacing w:after="40"/>
            </w:pPr>
            <w:r>
              <w:rPr>
                <w:b/>
                <w:color w:val="FFFFFF"/>
                <w:sz w:val="19"/>
              </w:rPr>
              <w:t>Metric</w:t>
            </w:r>
          </w:p>
        </w:tc>
        <w:tc>
          <w:tcPr>
            <w:tcW w:type="dxa" w:w="2995"/>
            <w:shd w:val="clear" w:fill="1F4E79"/>
          </w:tcPr>
          <w:p>
            <w:pPr>
              <w:spacing w:after="40"/>
            </w:pPr>
            <w:r>
              <w:rPr>
                <w:b/>
                <w:color w:val="FFFFFF"/>
                <w:sz w:val="19"/>
              </w:rPr>
              <w:t>Target</w:t>
            </w:r>
          </w:p>
        </w:tc>
      </w:tr>
      <w:tr>
        <w:tc>
          <w:tcPr>
            <w:tcW w:type="dxa" w:w="6365"/>
          </w:tcPr>
          <w:p>
            <w:pPr>
              <w:spacing w:after="40"/>
            </w:pPr>
            <w:r>
              <w:rPr>
                <w:sz w:val="19"/>
              </w:rPr>
              <w:t>End-to-end run time</w:t>
            </w:r>
          </w:p>
        </w:tc>
        <w:tc>
          <w:tcPr>
            <w:tcW w:type="dxa" w:w="2995"/>
          </w:tcPr>
          <w:p>
            <w:pPr>
              <w:spacing w:after="40"/>
            </w:pPr>
            <w:r>
              <w:rPr>
                <w:sz w:val="19"/>
              </w:rPr>
              <w:t>&lt;90s for a 2-page resume</w:t>
            </w:r>
          </w:p>
        </w:tc>
      </w:tr>
      <w:tr>
        <w:tc>
          <w:tcPr>
            <w:tcW w:type="dxa" w:w="6365"/>
            <w:shd w:val="clear" w:fill="F2F6FA"/>
          </w:tcPr>
          <w:p>
            <w:pPr>
              <w:spacing w:after="40"/>
            </w:pPr>
            <w:r>
              <w:rPr>
                <w:sz w:val="19"/>
              </w:rPr>
              <w:t>Runs completing without error</w:t>
            </w:r>
          </w:p>
        </w:tc>
        <w:tc>
          <w:tcPr>
            <w:tcW w:type="dxa" w:w="2995"/>
            <w:shd w:val="clear" w:fill="F2F6FA"/>
          </w:tcPr>
          <w:p>
            <w:pPr>
              <w:spacing w:after="40"/>
            </w:pPr>
            <w:r>
              <w:rPr>
                <w:sz w:val="19"/>
              </w:rPr>
              <w:t>≥95%</w:t>
            </w:r>
          </w:p>
        </w:tc>
      </w:tr>
      <w:tr>
        <w:tc>
          <w:tcPr>
            <w:tcW w:type="dxa" w:w="6365"/>
          </w:tcPr>
          <w:p>
            <w:pPr>
              <w:spacing w:after="40"/>
            </w:pPr>
            <w:r>
              <w:rPr>
                <w:sz w:val="19"/>
              </w:rPr>
              <w:t>Optimized bullets kept by user (kept ÷ optimized)</w:t>
            </w:r>
          </w:p>
        </w:tc>
        <w:tc>
          <w:tcPr>
            <w:tcW w:type="dxa" w:w="2995"/>
          </w:tcPr>
          <w:p>
            <w:pPr>
              <w:spacing w:after="40"/>
            </w:pPr>
            <w:r>
              <w:rPr>
                <w:sz w:val="19"/>
              </w:rPr>
              <w:t>≥60%</w:t>
            </w:r>
          </w:p>
        </w:tc>
      </w:tr>
      <w:tr>
        <w:tc>
          <w:tcPr>
            <w:tcW w:type="dxa" w:w="6365"/>
            <w:shd w:val="clear" w:fill="F2F6FA"/>
          </w:tcPr>
          <w:p>
            <w:pPr>
              <w:spacing w:after="40"/>
            </w:pPr>
            <w:r>
              <w:rPr>
                <w:sz w:val="19"/>
              </w:rPr>
              <w:t>Clarification-pass completion rate</w:t>
            </w:r>
          </w:p>
        </w:tc>
        <w:tc>
          <w:tcPr>
            <w:tcW w:type="dxa" w:w="2995"/>
            <w:shd w:val="clear" w:fill="F2F6FA"/>
          </w:tcPr>
          <w:p>
            <w:pPr>
              <w:spacing w:after="40"/>
            </w:pPr>
            <w:r>
              <w:rPr>
                <w:sz w:val="19"/>
              </w:rPr>
              <w:t>≥40%</w:t>
            </w:r>
          </w:p>
        </w:tc>
      </w:tr>
    </w:tbl>
    <w:p>
      <w:pPr>
        <w:spacing w:after="80"/>
      </w:pPr>
    </w:p>
    <w:p>
      <w:pPr>
        <w:spacing w:after="120"/>
      </w:pPr>
      <w:r>
        <w:rPr>
          <w:b/>
        </w:rPr>
        <w:t>Portfolio bar (qualitative):</w:t>
      </w:r>
      <w:r>
        <w:t xml:space="preserve"> every number rendered in the UI has a derivation Raju can explain in one sentence. If it can’t be explained, it gets cut.</w:t>
      </w:r>
    </w:p>
    <w:p>
      <w:pPr>
        <w:pStyle w:val="Heading1"/>
      </w:pPr>
      <w:r>
        <w:t>5. Scope</w:t>
      </w:r>
    </w:p>
    <w:p>
      <w:pPr>
        <w:pStyle w:val="Heading3"/>
      </w:pPr>
      <w:r>
        <w:t>v1 — Competency-model path</w:t>
      </w:r>
    </w:p>
    <w:p>
      <w:pPr>
        <w:spacing w:after="120"/>
      </w:pPr>
      <w:r>
        <w:t>Resume + optional experience doc → decompose → score against the PM competency model → rewrite weak bullets → self-score with reason codes → clarification pass → deliver.</w:t>
      </w:r>
    </w:p>
    <w:p>
      <w:pPr>
        <w:spacing w:after="120"/>
      </w:pPr>
      <w:r>
        <w:t>No web search. No JD parsing. This removes the flakiest external dependency (JD scraping) and leads with the differentiated feature.</w:t>
      </w:r>
    </w:p>
    <w:p>
      <w:pPr>
        <w:pStyle w:val="Heading3"/>
      </w:pPr>
      <w:r>
        <w:t>v2 — JD path</w:t>
      </w:r>
    </w:p>
    <w:p>
      <w:pPr>
        <w:spacing w:after="120"/>
      </w:pPr>
      <w:r>
        <w:t>Upload/paste JD, or company+role → web search → generate fallback. Gap analysis against JD requirements. Keyword coverage scoring. Everything else reuses v1 tooling.</w:t>
      </w:r>
    </w:p>
    <w:p>
      <w:pPr>
        <w:pStyle w:val="Heading3"/>
      </w:pPr>
      <w:r>
        <w:t>Later</w:t>
      </w:r>
    </w:p>
    <w:p>
      <w:pPr>
        <w:spacing w:after="120"/>
      </w:pPr>
      <w:r>
        <w:t>Module A (mock interviews), session persistence, multi-role support.</w:t>
      </w:r>
    </w:p>
    <w:p>
      <w:pPr>
        <w:pStyle w:val="Heading1"/>
      </w:pPr>
      <w:r>
        <w:t>6. User flows</w:t>
      </w:r>
    </w:p>
    <w:p>
      <w:pPr>
        <w:pStyle w:val="Heading2"/>
      </w:pPr>
      <w:r>
        <w:t>6.1 Inputs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621"/>
            <w:shd w:val="clear" w:fill="1F4E79"/>
          </w:tcPr>
          <w:p>
            <w:pPr>
              <w:spacing w:after="40"/>
            </w:pPr>
            <w:r>
              <w:rPr>
                <w:b/>
                <w:color w:val="FFFFFF"/>
                <w:sz w:val="19"/>
              </w:rPr>
              <w:t>Input</w:t>
            </w:r>
          </w:p>
        </w:tc>
        <w:tc>
          <w:tcPr>
            <w:tcW w:type="dxa" w:w="4680"/>
            <w:shd w:val="clear" w:fill="1F4E79"/>
          </w:tcPr>
          <w:p>
            <w:pPr>
              <w:spacing w:after="40"/>
            </w:pPr>
            <w:r>
              <w:rPr>
                <w:b/>
                <w:color w:val="FFFFFF"/>
                <w:sz w:val="19"/>
              </w:rPr>
              <w:t>Methods</w:t>
            </w:r>
          </w:p>
        </w:tc>
        <w:tc>
          <w:tcPr>
            <w:tcW w:type="dxa" w:w="2059"/>
            <w:shd w:val="clear" w:fill="1F4E79"/>
          </w:tcPr>
          <w:p>
            <w:pPr>
              <w:spacing w:after="40"/>
            </w:pPr>
            <w:r>
              <w:rPr>
                <w:b/>
                <w:color w:val="FFFFFF"/>
                <w:sz w:val="19"/>
              </w:rPr>
              <w:t>Required</w:t>
            </w:r>
          </w:p>
        </w:tc>
      </w:tr>
      <w:tr>
        <w:tc>
          <w:tcPr>
            <w:tcW w:type="dxa" w:w="2621"/>
          </w:tcPr>
          <w:p>
            <w:pPr>
              <w:spacing w:after="40"/>
            </w:pPr>
            <w:r>
              <w:rPr>
                <w:sz w:val="19"/>
              </w:rPr>
              <w:t>Resume</w:t>
            </w:r>
          </w:p>
        </w:tc>
        <w:tc>
          <w:tcPr>
            <w:tcW w:type="dxa" w:w="4680"/>
          </w:tcPr>
          <w:p>
            <w:pPr>
              <w:spacing w:after="40"/>
            </w:pPr>
            <w:r>
              <w:rPr>
                <w:sz w:val="19"/>
              </w:rPr>
              <w:t>Upload PDF/DOCX, or paste</w:t>
            </w:r>
          </w:p>
        </w:tc>
        <w:tc>
          <w:tcPr>
            <w:tcW w:type="dxa" w:w="2059"/>
          </w:tcPr>
          <w:p>
            <w:pPr>
              <w:spacing w:after="40"/>
            </w:pPr>
            <w:r>
              <w:rPr>
                <w:b/>
                <w:sz w:val="19"/>
              </w:rPr>
              <w:t>Yes</w:t>
            </w:r>
          </w:p>
        </w:tc>
      </w:tr>
      <w:tr>
        <w:tc>
          <w:tcPr>
            <w:tcW w:type="dxa" w:w="2621"/>
            <w:shd w:val="clear" w:fill="F2F6FA"/>
          </w:tcPr>
          <w:p>
            <w:pPr>
              <w:spacing w:after="40"/>
            </w:pPr>
            <w:r>
              <w:rPr>
                <w:sz w:val="19"/>
              </w:rPr>
              <w:t>Experience doc</w:t>
            </w:r>
          </w:p>
        </w:tc>
        <w:tc>
          <w:tcPr>
            <w:tcW w:type="dxa" w:w="4680"/>
            <w:shd w:val="clear" w:fill="F2F6FA"/>
          </w:tcPr>
          <w:p>
            <w:pPr>
              <w:spacing w:after="40"/>
            </w:pPr>
            <w:r>
              <w:rPr>
                <w:sz w:val="19"/>
              </w:rPr>
              <w:t>Upload PDF/DOCX, or paste</w:t>
            </w:r>
          </w:p>
        </w:tc>
        <w:tc>
          <w:tcPr>
            <w:tcW w:type="dxa" w:w="2059"/>
            <w:shd w:val="clear" w:fill="F2F6FA"/>
          </w:tcPr>
          <w:p>
            <w:pPr>
              <w:spacing w:after="40"/>
            </w:pPr>
            <w:r>
              <w:rPr>
                <w:sz w:val="19"/>
              </w:rPr>
              <w:t>No</w:t>
            </w:r>
          </w:p>
        </w:tc>
      </w:tr>
      <w:tr>
        <w:tc>
          <w:tcPr>
            <w:tcW w:type="dxa" w:w="2621"/>
          </w:tcPr>
          <w:p>
            <w:pPr>
              <w:spacing w:after="40"/>
            </w:pPr>
            <w:r>
              <w:rPr>
                <w:sz w:val="19"/>
              </w:rPr>
              <w:t>Target seniority</w:t>
            </w:r>
          </w:p>
        </w:tc>
        <w:tc>
          <w:tcPr>
            <w:tcW w:type="dxa" w:w="4680"/>
          </w:tcPr>
          <w:p>
            <w:pPr>
              <w:spacing w:after="40"/>
            </w:pPr>
            <w:r>
              <w:rPr>
                <w:sz w:val="19"/>
              </w:rPr>
              <w:t>Dropdown (APM / PM / Senior PM / Group PM / Director)</w:t>
            </w:r>
          </w:p>
        </w:tc>
        <w:tc>
          <w:tcPr>
            <w:tcW w:type="dxa" w:w="2059"/>
          </w:tcPr>
          <w:p>
            <w:pPr>
              <w:spacing w:after="40"/>
            </w:pPr>
            <w:r>
              <w:rPr>
                <w:sz w:val="19"/>
              </w:rPr>
              <w:t>No — defaults to PM</w:t>
            </w:r>
          </w:p>
        </w:tc>
      </w:tr>
    </w:tbl>
    <w:p>
      <w:pPr>
        <w:spacing w:after="80"/>
      </w:pPr>
    </w:p>
    <w:p>
      <w:pPr>
        <w:spacing w:after="120"/>
      </w:pPr>
      <w:r>
        <w:rPr>
          <w:i/>
        </w:rPr>
        <w:t>(v2 adds: JD upload/paste/URL, company name, role name.)</w:t>
      </w:r>
    </w:p>
    <w:p>
      <w:pPr>
        <w:spacing w:after="120"/>
      </w:pPr>
      <w:r>
        <w:t>The experience doc is a free-form brain dump — projects, metrics, things not yet on the resume. It’s the raw material that makes rewrites specific rather than reworded. It is optional because most users don’t have one prepared; §6.3 recovers the missing information instead.</w:t>
      </w:r>
    </w:p>
    <w:p>
      <w:pPr>
        <w:pStyle w:val="Heading2"/>
      </w:pPr>
      <w:r>
        <w:t>6.2 Agent run (autonomous)</w:t>
      </w:r>
    </w:p>
    <w:p>
      <w:pPr>
        <w:spacing w:after="120"/>
      </w:pPr>
      <w:r>
        <w:t xml:space="preserve">User clicks </w:t>
      </w:r>
      <w:r>
        <w:rPr>
          <w:b/>
        </w:rPr>
        <w:t>Optimize</w:t>
      </w:r>
      <w:r>
        <w:t>, watches a live progress log, cannot intervene.</w:t>
      </w:r>
    </w:p>
    <w:p>
      <w:pPr>
        <w:pStyle w:val="Heading2"/>
      </w:pPr>
      <w:r>
        <w:t>6.3 Clarification pass (optional, post-run)</w:t>
      </w:r>
    </w:p>
    <w:p>
      <w:pPr>
        <w:spacing w:after="120"/>
      </w:pPr>
      <w:r>
        <w:t>Agent surfaces ≤5 targeted questions for bullets it could not quantify from source material:</w:t>
      </w:r>
    </w:p>
    <w:p>
      <w:pPr>
        <w:spacing w:before="80" w:after="160"/>
        <w:ind w:left="432"/>
      </w:pPr>
      <w:r>
        <w:rPr>
          <w:i/>
          <w:color w:val="595959"/>
        </w:rPr>
        <w:t>You wrote "Improved the onboarding flow." By how much did it improve, and over what period?</w:t>
      </w:r>
    </w:p>
    <w:p>
      <w:pPr>
        <w:spacing w:after="120"/>
      </w:pPr>
      <w:r>
        <w:t xml:space="preserve">User answers any subset (or skips entirely). Agent re-runs the rewriter + scorer for </w:t>
      </w:r>
      <w:r>
        <w:rPr>
          <w:b/>
        </w:rPr>
        <w:t>only</w:t>
      </w:r>
      <w:r>
        <w:t xml:space="preserve"> those bullets. Output is complete and usable without this step.</w:t>
      </w:r>
    </w:p>
    <w:p>
      <w:pPr>
        <w:pStyle w:val="Heading2"/>
      </w:pPr>
      <w:r>
        <w:t>6.4 Review</w:t>
      </w:r>
    </w:p>
    <w:p>
      <w:pPr>
        <w:spacing w:after="120"/>
      </w:pPr>
      <w:r>
        <w:t>Per bullet: original vs optimized side by side, score breakdown, competency tag, "why" note. Actions: Keep · Revert · Edit · Regenerate-with-prompt.</w:t>
      </w:r>
    </w:p>
    <w:p>
      <w:pPr>
        <w:spacing w:after="120"/>
      </w:pPr>
      <w:r>
        <w:t>Plus: competency coverage before/after, flagged bullets, gap summary, Copy All / Download .txt / Start Over.</w:t>
      </w:r>
    </w:p>
    <w:p>
      <w:pPr>
        <w:pStyle w:val="Heading1"/>
      </w:pPr>
      <w:r>
        <w:t>7. Agent specification</w:t>
      </w:r>
    </w:p>
    <w:p>
      <w:pPr>
        <w:pStyle w:val="Heading2"/>
      </w:pPr>
      <w:r>
        <w:t>7.1 PM competency model</w:t>
      </w:r>
    </w:p>
    <w:p>
      <w:pPr>
        <w:spacing w:after="120"/>
      </w:pPr>
      <w:r>
        <w:t xml:space="preserve">The scoring backbone for v1. Every bullet is tagged with the competency it demonstrates (or </w:t>
      </w:r>
      <w:r>
        <w:rPr>
          <w:rFonts w:ascii="Consolas" w:hAnsi="Consolas"/>
          <w:color w:val="A31515"/>
          <w:sz w:val="18"/>
        </w:rPr>
        <w:t>NONE</w:t>
      </w:r>
      <w:r>
        <w:t>).</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562"/>
            <w:shd w:val="clear" w:fill="1F4E79"/>
          </w:tcPr>
          <w:p>
            <w:pPr>
              <w:spacing w:after="40"/>
            </w:pPr>
            <w:r>
              <w:rPr>
                <w:b/>
                <w:color w:val="FFFFFF"/>
                <w:sz w:val="19"/>
              </w:rPr>
              <w:t>#</w:t>
            </w:r>
          </w:p>
        </w:tc>
        <w:tc>
          <w:tcPr>
            <w:tcW w:type="dxa" w:w="3089"/>
            <w:shd w:val="clear" w:fill="1F4E79"/>
          </w:tcPr>
          <w:p>
            <w:pPr>
              <w:spacing w:after="40"/>
            </w:pPr>
            <w:r>
              <w:rPr>
                <w:b/>
                <w:color w:val="FFFFFF"/>
                <w:sz w:val="19"/>
              </w:rPr>
              <w:t>Competency</w:t>
            </w:r>
          </w:p>
        </w:tc>
        <w:tc>
          <w:tcPr>
            <w:tcW w:type="dxa" w:w="5710"/>
            <w:shd w:val="clear" w:fill="1F4E79"/>
          </w:tcPr>
          <w:p>
            <w:pPr>
              <w:spacing w:after="40"/>
            </w:pPr>
            <w:r>
              <w:rPr>
                <w:b/>
                <w:color w:val="FFFFFF"/>
                <w:sz w:val="19"/>
              </w:rPr>
              <w:t>What a strong bullet shows</w:t>
            </w:r>
          </w:p>
        </w:tc>
      </w:tr>
      <w:tr>
        <w:tc>
          <w:tcPr>
            <w:tcW w:type="dxa" w:w="562"/>
          </w:tcPr>
          <w:p>
            <w:pPr>
              <w:spacing w:after="40"/>
            </w:pPr>
            <w:r>
              <w:rPr>
                <w:sz w:val="19"/>
              </w:rPr>
              <w:t>1</w:t>
            </w:r>
          </w:p>
        </w:tc>
        <w:tc>
          <w:tcPr>
            <w:tcW w:type="dxa" w:w="3089"/>
          </w:tcPr>
          <w:p>
            <w:pPr>
              <w:spacing w:after="40"/>
            </w:pPr>
            <w:r>
              <w:rPr>
                <w:sz w:val="19"/>
              </w:rPr>
              <w:t>Discovery &amp; user research</w:t>
            </w:r>
          </w:p>
        </w:tc>
        <w:tc>
          <w:tcPr>
            <w:tcW w:type="dxa" w:w="5710"/>
          </w:tcPr>
          <w:p>
            <w:pPr>
              <w:spacing w:after="40"/>
            </w:pPr>
            <w:r>
              <w:rPr>
                <w:sz w:val="19"/>
              </w:rPr>
              <w:t>Talked to users, synthesized findings, changed direction based on evidence</w:t>
            </w:r>
          </w:p>
        </w:tc>
      </w:tr>
      <w:tr>
        <w:tc>
          <w:tcPr>
            <w:tcW w:type="dxa" w:w="562"/>
            <w:shd w:val="clear" w:fill="F2F6FA"/>
          </w:tcPr>
          <w:p>
            <w:pPr>
              <w:spacing w:after="40"/>
            </w:pPr>
            <w:r>
              <w:rPr>
                <w:sz w:val="19"/>
              </w:rPr>
              <w:t>2</w:t>
            </w:r>
          </w:p>
        </w:tc>
        <w:tc>
          <w:tcPr>
            <w:tcW w:type="dxa" w:w="3089"/>
            <w:shd w:val="clear" w:fill="F2F6FA"/>
          </w:tcPr>
          <w:p>
            <w:pPr>
              <w:spacing w:after="40"/>
            </w:pPr>
            <w:r>
              <w:rPr>
                <w:sz w:val="19"/>
              </w:rPr>
              <w:t>Prioritization &amp; roadmap</w:t>
            </w:r>
          </w:p>
        </w:tc>
        <w:tc>
          <w:tcPr>
            <w:tcW w:type="dxa" w:w="5710"/>
            <w:shd w:val="clear" w:fill="F2F6FA"/>
          </w:tcPr>
          <w:p>
            <w:pPr>
              <w:spacing w:after="40"/>
            </w:pPr>
            <w:r>
              <w:rPr>
                <w:sz w:val="19"/>
              </w:rPr>
              <w:t>Made a tradeoff, cut something, sequenced against a constraint</w:t>
            </w:r>
          </w:p>
        </w:tc>
      </w:tr>
      <w:tr>
        <w:tc>
          <w:tcPr>
            <w:tcW w:type="dxa" w:w="562"/>
          </w:tcPr>
          <w:p>
            <w:pPr>
              <w:spacing w:after="40"/>
            </w:pPr>
            <w:r>
              <w:rPr>
                <w:sz w:val="19"/>
              </w:rPr>
              <w:t>3</w:t>
            </w:r>
          </w:p>
        </w:tc>
        <w:tc>
          <w:tcPr>
            <w:tcW w:type="dxa" w:w="3089"/>
          </w:tcPr>
          <w:p>
            <w:pPr>
              <w:spacing w:after="40"/>
            </w:pPr>
            <w:r>
              <w:rPr>
                <w:sz w:val="19"/>
              </w:rPr>
              <w:t>Metrics &amp; data-informed decisions</w:t>
            </w:r>
          </w:p>
        </w:tc>
        <w:tc>
          <w:tcPr>
            <w:tcW w:type="dxa" w:w="5710"/>
          </w:tcPr>
          <w:p>
            <w:pPr>
              <w:spacing w:after="40"/>
            </w:pPr>
            <w:r>
              <w:rPr>
                <w:sz w:val="19"/>
              </w:rPr>
              <w:t>Defined a metric, moved it, or killed something because of it</w:t>
            </w:r>
          </w:p>
        </w:tc>
      </w:tr>
      <w:tr>
        <w:tc>
          <w:tcPr>
            <w:tcW w:type="dxa" w:w="562"/>
            <w:shd w:val="clear" w:fill="F2F6FA"/>
          </w:tcPr>
          <w:p>
            <w:pPr>
              <w:spacing w:after="40"/>
            </w:pPr>
            <w:r>
              <w:rPr>
                <w:sz w:val="19"/>
              </w:rPr>
              <w:t>4</w:t>
            </w:r>
          </w:p>
        </w:tc>
        <w:tc>
          <w:tcPr>
            <w:tcW w:type="dxa" w:w="3089"/>
            <w:shd w:val="clear" w:fill="F2F6FA"/>
          </w:tcPr>
          <w:p>
            <w:pPr>
              <w:spacing w:after="40"/>
            </w:pPr>
            <w:r>
              <w:rPr>
                <w:sz w:val="19"/>
              </w:rPr>
              <w:t>Cross-functional influence</w:t>
            </w:r>
          </w:p>
        </w:tc>
        <w:tc>
          <w:tcPr>
            <w:tcW w:type="dxa" w:w="5710"/>
            <w:shd w:val="clear" w:fill="F2F6FA"/>
          </w:tcPr>
          <w:p>
            <w:pPr>
              <w:spacing w:after="40"/>
            </w:pPr>
            <w:r>
              <w:rPr>
                <w:sz w:val="19"/>
              </w:rPr>
              <w:t>Aligned eng/design/sales/legal without authority</w:t>
            </w:r>
          </w:p>
        </w:tc>
      </w:tr>
      <w:tr>
        <w:tc>
          <w:tcPr>
            <w:tcW w:type="dxa" w:w="562"/>
          </w:tcPr>
          <w:p>
            <w:pPr>
              <w:spacing w:after="40"/>
            </w:pPr>
            <w:r>
              <w:rPr>
                <w:sz w:val="19"/>
              </w:rPr>
              <w:t>5</w:t>
            </w:r>
          </w:p>
        </w:tc>
        <w:tc>
          <w:tcPr>
            <w:tcW w:type="dxa" w:w="3089"/>
          </w:tcPr>
          <w:p>
            <w:pPr>
              <w:spacing w:after="40"/>
            </w:pPr>
            <w:r>
              <w:rPr>
                <w:sz w:val="19"/>
              </w:rPr>
              <w:t>Execution &amp; delivery</w:t>
            </w:r>
          </w:p>
        </w:tc>
        <w:tc>
          <w:tcPr>
            <w:tcW w:type="dxa" w:w="5710"/>
          </w:tcPr>
          <w:p>
            <w:pPr>
              <w:spacing w:after="40"/>
            </w:pPr>
            <w:r>
              <w:rPr>
                <w:sz w:val="19"/>
              </w:rPr>
              <w:t>Shipped, on a timeline, through obstacles</w:t>
            </w:r>
          </w:p>
        </w:tc>
      </w:tr>
      <w:tr>
        <w:tc>
          <w:tcPr>
            <w:tcW w:type="dxa" w:w="562"/>
            <w:shd w:val="clear" w:fill="F2F6FA"/>
          </w:tcPr>
          <w:p>
            <w:pPr>
              <w:spacing w:after="40"/>
            </w:pPr>
            <w:r>
              <w:rPr>
                <w:sz w:val="19"/>
              </w:rPr>
              <w:t>6</w:t>
            </w:r>
          </w:p>
        </w:tc>
        <w:tc>
          <w:tcPr>
            <w:tcW w:type="dxa" w:w="3089"/>
            <w:shd w:val="clear" w:fill="F2F6FA"/>
          </w:tcPr>
          <w:p>
            <w:pPr>
              <w:spacing w:after="40"/>
            </w:pPr>
            <w:r>
              <w:rPr>
                <w:sz w:val="19"/>
              </w:rPr>
              <w:t>Stakeholder &amp; exec communication</w:t>
            </w:r>
          </w:p>
        </w:tc>
        <w:tc>
          <w:tcPr>
            <w:tcW w:type="dxa" w:w="5710"/>
            <w:shd w:val="clear" w:fill="F2F6FA"/>
          </w:tcPr>
          <w:p>
            <w:pPr>
              <w:spacing w:after="40"/>
            </w:pPr>
            <w:r>
              <w:rPr>
                <w:sz w:val="19"/>
              </w:rPr>
              <w:t>Presented up, secured buy-in or budget</w:t>
            </w:r>
          </w:p>
        </w:tc>
      </w:tr>
      <w:tr>
        <w:tc>
          <w:tcPr>
            <w:tcW w:type="dxa" w:w="562"/>
          </w:tcPr>
          <w:p>
            <w:pPr>
              <w:spacing w:after="40"/>
            </w:pPr>
            <w:r>
              <w:rPr>
                <w:sz w:val="19"/>
              </w:rPr>
              <w:t>7</w:t>
            </w:r>
          </w:p>
        </w:tc>
        <w:tc>
          <w:tcPr>
            <w:tcW w:type="dxa" w:w="3089"/>
          </w:tcPr>
          <w:p>
            <w:pPr>
              <w:spacing w:after="40"/>
            </w:pPr>
            <w:r>
              <w:rPr>
                <w:sz w:val="19"/>
              </w:rPr>
              <w:t>Domain / technical depth</w:t>
            </w:r>
          </w:p>
        </w:tc>
        <w:tc>
          <w:tcPr>
            <w:tcW w:type="dxa" w:w="5710"/>
          </w:tcPr>
          <w:p>
            <w:pPr>
              <w:spacing w:after="40"/>
            </w:pPr>
            <w:r>
              <w:rPr>
                <w:sz w:val="19"/>
              </w:rPr>
              <w:t>Demonstrated credibility in the problem space</w:t>
            </w:r>
          </w:p>
        </w:tc>
      </w:tr>
    </w:tbl>
    <w:p>
      <w:pPr>
        <w:spacing w:after="80"/>
      </w:pPr>
    </w:p>
    <w:p>
      <w:pPr>
        <w:spacing w:after="120"/>
      </w:pPr>
      <w:r>
        <w:rPr>
          <w:b/>
        </w:rPr>
        <w:t>Why this matters:</w:t>
      </w:r>
      <w:r>
        <w:t xml:space="preserve"> it converts the no-JD path from a fallback into the primary insight. </w:t>
      </w:r>
      <w:r>
        <w:rPr>
          <w:i/>
        </w:rPr>
        <w:t>"Your resume is heavy on execution and delivery, and has almost nothing on discovery or metrics — for Senior PM roles, that’s the gap that gets you screened out"</w:t>
      </w:r>
      <w:r>
        <w:t xml:space="preserve"> is more useful than a keyword percentage, and it’s honest about what it measures.</w:t>
      </w:r>
    </w:p>
    <w:p>
      <w:pPr>
        <w:spacing w:after="120"/>
      </w:pPr>
      <w:r>
        <w:t>Coverage expectations vary by target seniority (a Director-level resume needs stakeholder communication signal that an APM resume doesn’t).</w:t>
      </w:r>
    </w:p>
    <w:p>
      <w:pPr>
        <w:pStyle w:val="Heading2"/>
      </w:pPr>
      <w:r>
        <w:t>7.2 Pipeline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434"/>
            <w:shd w:val="clear" w:fill="1F4E79"/>
          </w:tcPr>
          <w:p>
            <w:pPr>
              <w:spacing w:after="40"/>
            </w:pPr>
            <w:r>
              <w:rPr>
                <w:b/>
                <w:color w:val="FFFFFF"/>
                <w:sz w:val="19"/>
              </w:rPr>
              <w:t>Step</w:t>
            </w:r>
          </w:p>
        </w:tc>
        <w:tc>
          <w:tcPr>
            <w:tcW w:type="dxa" w:w="3182"/>
            <w:shd w:val="clear" w:fill="1F4E79"/>
          </w:tcPr>
          <w:p>
            <w:pPr>
              <w:spacing w:after="40"/>
            </w:pPr>
            <w:r>
              <w:rPr>
                <w:b/>
                <w:color w:val="FFFFFF"/>
                <w:sz w:val="19"/>
              </w:rPr>
              <w:t>Tool</w:t>
            </w:r>
          </w:p>
        </w:tc>
        <w:tc>
          <w:tcPr>
            <w:tcW w:type="dxa" w:w="3744"/>
            <w:shd w:val="clear" w:fill="1F4E79"/>
          </w:tcPr>
          <w:p>
            <w:pPr>
              <w:spacing w:after="40"/>
            </w:pPr>
            <w:r>
              <w:rPr>
                <w:b/>
                <w:color w:val="FFFFFF"/>
                <w:sz w:val="19"/>
              </w:rPr>
              <w:t>Output</w:t>
            </w:r>
          </w:p>
        </w:tc>
      </w:tr>
      <w:tr>
        <w:tc>
          <w:tcPr>
            <w:tcW w:type="dxa" w:w="2434"/>
          </w:tcPr>
          <w:p>
            <w:pPr>
              <w:spacing w:after="40"/>
            </w:pPr>
            <w:r>
              <w:rPr>
                <w:sz w:val="19"/>
              </w:rPr>
              <w:t>1. Parse</w:t>
            </w:r>
          </w:p>
        </w:tc>
        <w:tc>
          <w:tcPr>
            <w:tcW w:type="dxa" w:w="3182"/>
          </w:tcPr>
          <w:p>
            <w:pPr>
              <w:spacing w:after="40"/>
            </w:pPr>
            <w:r>
              <w:rPr>
                <w:sz w:val="19"/>
              </w:rPr>
              <w:t>File Parser (PDF.js / mammoth.js, client-side)</w:t>
            </w:r>
          </w:p>
        </w:tc>
        <w:tc>
          <w:tcPr>
            <w:tcW w:type="dxa" w:w="3744"/>
          </w:tcPr>
          <w:p>
            <w:pPr>
              <w:spacing w:after="40"/>
            </w:pPr>
            <w:r>
              <w:rPr>
                <w:sz w:val="19"/>
              </w:rPr>
              <w:t>Clean text per document</w:t>
            </w:r>
          </w:p>
        </w:tc>
      </w:tr>
      <w:tr>
        <w:tc>
          <w:tcPr>
            <w:tcW w:type="dxa" w:w="2434"/>
            <w:shd w:val="clear" w:fill="F2F6FA"/>
          </w:tcPr>
          <w:p>
            <w:pPr>
              <w:spacing w:after="40"/>
            </w:pPr>
            <w:r>
              <w:rPr>
                <w:sz w:val="19"/>
              </w:rPr>
              <w:t>2. Decompose</w:t>
            </w:r>
          </w:p>
        </w:tc>
        <w:tc>
          <w:tcPr>
            <w:tcW w:type="dxa" w:w="3182"/>
            <w:shd w:val="clear" w:fill="F2F6FA"/>
          </w:tcPr>
          <w:p>
            <w:pPr>
              <w:spacing w:after="40"/>
            </w:pPr>
            <w:r>
              <w:rPr>
                <w:sz w:val="19"/>
              </w:rPr>
              <w:t>LLM, structured output</w:t>
            </w:r>
          </w:p>
        </w:tc>
        <w:tc>
          <w:tcPr>
            <w:tcW w:type="dxa" w:w="3744"/>
            <w:shd w:val="clear" w:fill="F2F6FA"/>
          </w:tcPr>
          <w:p>
            <w:pPr>
              <w:spacing w:after="40"/>
            </w:pPr>
            <w:r>
              <w:rPr>
                <w:sz w:val="19"/>
              </w:rPr>
              <w:t>Tagged bullet list: text, section, company, role, dates</w:t>
            </w:r>
          </w:p>
        </w:tc>
      </w:tr>
      <w:tr>
        <w:tc>
          <w:tcPr>
            <w:tcW w:type="dxa" w:w="2434"/>
          </w:tcPr>
          <w:p>
            <w:pPr>
              <w:spacing w:after="40"/>
            </w:pPr>
            <w:r>
              <w:rPr>
                <w:sz w:val="19"/>
              </w:rPr>
              <w:t>3. Competency map</w:t>
            </w:r>
          </w:p>
        </w:tc>
        <w:tc>
          <w:tcPr>
            <w:tcW w:type="dxa" w:w="3182"/>
          </w:tcPr>
          <w:p>
            <w:pPr>
              <w:spacing w:after="40"/>
            </w:pPr>
            <w:r>
              <w:rPr>
                <w:sz w:val="19"/>
              </w:rPr>
              <w:t>LLM, structured output</w:t>
            </w:r>
          </w:p>
        </w:tc>
        <w:tc>
          <w:tcPr>
            <w:tcW w:type="dxa" w:w="3744"/>
          </w:tcPr>
          <w:p>
            <w:pPr>
              <w:spacing w:after="40"/>
            </w:pPr>
            <w:r>
              <w:rPr>
                <w:sz w:val="19"/>
              </w:rPr>
              <w:t>Per-bullet competency tag + strength, coverage report</w:t>
            </w:r>
          </w:p>
        </w:tc>
      </w:tr>
      <w:tr>
        <w:tc>
          <w:tcPr>
            <w:tcW w:type="dxa" w:w="2434"/>
            <w:shd w:val="clear" w:fill="F2F6FA"/>
          </w:tcPr>
          <w:p>
            <w:pPr>
              <w:spacing w:after="40"/>
            </w:pPr>
            <w:r>
              <w:rPr>
                <w:sz w:val="19"/>
              </w:rPr>
              <w:t>4. Rewrite</w:t>
            </w:r>
          </w:p>
        </w:tc>
        <w:tc>
          <w:tcPr>
            <w:tcW w:type="dxa" w:w="3182"/>
            <w:shd w:val="clear" w:fill="F2F6FA"/>
          </w:tcPr>
          <w:p>
            <w:pPr>
              <w:spacing w:after="40"/>
            </w:pPr>
            <w:r>
              <w:rPr>
                <w:sz w:val="19"/>
              </w:rPr>
              <w:t>LLM</w:t>
            </w:r>
          </w:p>
        </w:tc>
        <w:tc>
          <w:tcPr>
            <w:tcW w:type="dxa" w:w="3744"/>
            <w:shd w:val="clear" w:fill="F2F6FA"/>
          </w:tcPr>
          <w:p>
            <w:pPr>
              <w:spacing w:after="40"/>
            </w:pPr>
            <w:r>
              <w:rPr>
                <w:sz w:val="19"/>
              </w:rPr>
              <w:t>STAR-format rewrite for each weak bullet</w:t>
            </w:r>
          </w:p>
        </w:tc>
      </w:tr>
      <w:tr>
        <w:tc>
          <w:tcPr>
            <w:tcW w:type="dxa" w:w="2434"/>
          </w:tcPr>
          <w:p>
            <w:pPr>
              <w:spacing w:after="40"/>
            </w:pPr>
            <w:r>
              <w:rPr>
                <w:sz w:val="19"/>
              </w:rPr>
              <w:t>5. Self-score</w:t>
            </w:r>
          </w:p>
        </w:tc>
        <w:tc>
          <w:tcPr>
            <w:tcW w:type="dxa" w:w="3182"/>
          </w:tcPr>
          <w:p>
            <w:pPr>
              <w:spacing w:after="40"/>
            </w:pPr>
            <w:r>
              <w:rPr>
                <w:sz w:val="19"/>
              </w:rPr>
              <w:t>Hybrid (code + LLM)</w:t>
            </w:r>
          </w:p>
        </w:tc>
        <w:tc>
          <w:tcPr>
            <w:tcW w:type="dxa" w:w="3744"/>
          </w:tcPr>
          <w:p>
            <w:pPr>
              <w:spacing w:after="40"/>
            </w:pPr>
            <w:r>
              <w:rPr>
                <w:sz w:val="19"/>
              </w:rPr>
              <w:t xml:space="preserve">Composite score + </w:t>
            </w:r>
            <w:r>
              <w:rPr>
                <w:b/>
                <w:sz w:val="19"/>
              </w:rPr>
              <w:t>reason code</w:t>
            </w:r>
            <w:r>
              <w:rPr>
                <w:sz w:val="19"/>
              </w:rPr>
              <w:t xml:space="preserve"> per bullet</w:t>
            </w:r>
          </w:p>
        </w:tc>
      </w:tr>
      <w:tr>
        <w:tc>
          <w:tcPr>
            <w:tcW w:type="dxa" w:w="2434"/>
            <w:shd w:val="clear" w:fill="F2F6FA"/>
          </w:tcPr>
          <w:p>
            <w:pPr>
              <w:spacing w:after="40"/>
            </w:pPr>
            <w:r>
              <w:rPr>
                <w:sz w:val="19"/>
              </w:rPr>
              <w:t>6. Retry / route</w:t>
            </w:r>
          </w:p>
        </w:tc>
        <w:tc>
          <w:tcPr>
            <w:tcW w:type="dxa" w:w="3182"/>
            <w:shd w:val="clear" w:fill="F2F6FA"/>
          </w:tcPr>
          <w:p>
            <w:pPr>
              <w:spacing w:after="40"/>
            </w:pPr>
            <w:r>
              <w:rPr>
                <w:sz w:val="19"/>
              </w:rPr>
              <w:t>Orchestrator logic</w:t>
            </w:r>
          </w:p>
        </w:tc>
        <w:tc>
          <w:tcPr>
            <w:tcW w:type="dxa" w:w="3744"/>
            <w:shd w:val="clear" w:fill="F2F6FA"/>
          </w:tcPr>
          <w:p>
            <w:pPr>
              <w:spacing w:after="40"/>
            </w:pPr>
            <w:r>
              <w:rPr>
                <w:sz w:val="19"/>
              </w:rPr>
              <w:t>Accept, retry, route to clarification, or flag</w:t>
            </w:r>
          </w:p>
        </w:tc>
      </w:tr>
      <w:tr>
        <w:tc>
          <w:tcPr>
            <w:tcW w:type="dxa" w:w="2434"/>
          </w:tcPr>
          <w:p>
            <w:pPr>
              <w:spacing w:after="40"/>
            </w:pPr>
            <w:r>
              <w:rPr>
                <w:sz w:val="19"/>
              </w:rPr>
              <w:t>7. Compile</w:t>
            </w:r>
          </w:p>
        </w:tc>
        <w:tc>
          <w:tcPr>
            <w:tcW w:type="dxa" w:w="3182"/>
          </w:tcPr>
          <w:p>
            <w:pPr>
              <w:spacing w:after="40"/>
            </w:pPr>
            <w:r>
              <w:rPr>
                <w:sz w:val="19"/>
              </w:rPr>
              <w:t>Code</w:t>
            </w:r>
          </w:p>
        </w:tc>
        <w:tc>
          <w:tcPr>
            <w:tcW w:type="dxa" w:w="3744"/>
          </w:tcPr>
          <w:p>
            <w:pPr>
              <w:spacing w:after="40"/>
            </w:pPr>
            <w:r>
              <w:rPr>
                <w:sz w:val="19"/>
              </w:rPr>
              <w:t>Final output object</w:t>
            </w:r>
          </w:p>
        </w:tc>
      </w:tr>
      <w:tr>
        <w:tc>
          <w:tcPr>
            <w:tcW w:type="dxa" w:w="2434"/>
            <w:shd w:val="clear" w:fill="F2F6FA"/>
          </w:tcPr>
          <w:p>
            <w:pPr>
              <w:spacing w:after="40"/>
            </w:pPr>
            <w:r>
              <w:rPr>
                <w:sz w:val="19"/>
              </w:rPr>
              <w:t xml:space="preserve">8. Clarify </w:t>
            </w:r>
            <w:r>
              <w:rPr>
                <w:i/>
                <w:sz w:val="19"/>
              </w:rPr>
              <w:t>(conditional)</w:t>
            </w:r>
          </w:p>
        </w:tc>
        <w:tc>
          <w:tcPr>
            <w:tcW w:type="dxa" w:w="3182"/>
            <w:shd w:val="clear" w:fill="F2F6FA"/>
          </w:tcPr>
          <w:p>
            <w:pPr>
              <w:spacing w:after="40"/>
            </w:pPr>
            <w:r>
              <w:rPr>
                <w:sz w:val="19"/>
              </w:rPr>
              <w:t>LLM + user input</w:t>
            </w:r>
          </w:p>
        </w:tc>
        <w:tc>
          <w:tcPr>
            <w:tcW w:type="dxa" w:w="3744"/>
            <w:shd w:val="clear" w:fill="F2F6FA"/>
          </w:tcPr>
          <w:p>
            <w:pPr>
              <w:spacing w:after="40"/>
            </w:pPr>
            <w:r>
              <w:rPr>
                <w:sz w:val="19"/>
              </w:rPr>
              <w:t>Re-run of 4–6 for questioned bullets only</w:t>
            </w:r>
          </w:p>
        </w:tc>
      </w:tr>
    </w:tbl>
    <w:p>
      <w:pPr>
        <w:spacing w:after="80"/>
      </w:pPr>
    </w:p>
    <w:p>
      <w:pPr>
        <w:spacing w:after="120"/>
      </w:pPr>
      <w:r>
        <w:t>Step 3 replaces the original plan’s "Gap Analysis" for v1; that step returns in v2 with JD requirements as the comparison target.</w:t>
      </w:r>
    </w:p>
    <w:p>
      <w:pPr>
        <w:pStyle w:val="Heading2"/>
      </w:pPr>
      <w:r>
        <w:t>7.3 Scoring rubric</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621"/>
            <w:shd w:val="clear" w:fill="1F4E79"/>
          </w:tcPr>
          <w:p>
            <w:pPr>
              <w:spacing w:after="40"/>
            </w:pPr>
            <w:r>
              <w:rPr>
                <w:b/>
                <w:color w:val="FFFFFF"/>
                <w:sz w:val="19"/>
              </w:rPr>
              <w:t>Criterion</w:t>
            </w:r>
          </w:p>
        </w:tc>
        <w:tc>
          <w:tcPr>
            <w:tcW w:type="dxa" w:w="1310"/>
            <w:shd w:val="clear" w:fill="1F4E79"/>
          </w:tcPr>
          <w:p>
            <w:pPr>
              <w:spacing w:after="40"/>
            </w:pPr>
            <w:r>
              <w:rPr>
                <w:b/>
                <w:color w:val="FFFFFF"/>
                <w:sz w:val="19"/>
              </w:rPr>
              <w:t>Weight</w:t>
            </w:r>
          </w:p>
        </w:tc>
        <w:tc>
          <w:tcPr>
            <w:tcW w:type="dxa" w:w="5429"/>
            <w:shd w:val="clear" w:fill="1F4E79"/>
          </w:tcPr>
          <w:p>
            <w:pPr>
              <w:spacing w:after="40"/>
            </w:pPr>
            <w:r>
              <w:rPr>
                <w:b/>
                <w:color w:val="FFFFFF"/>
                <w:sz w:val="19"/>
              </w:rPr>
              <w:t>Computed by</w:t>
            </w:r>
          </w:p>
        </w:tc>
      </w:tr>
      <w:tr>
        <w:tc>
          <w:tcPr>
            <w:tcW w:type="dxa" w:w="2621"/>
          </w:tcPr>
          <w:p>
            <w:pPr>
              <w:spacing w:after="40"/>
            </w:pPr>
            <w:r>
              <w:rPr>
                <w:sz w:val="19"/>
              </w:rPr>
              <w:t>Competency signal</w:t>
            </w:r>
          </w:p>
        </w:tc>
        <w:tc>
          <w:tcPr>
            <w:tcW w:type="dxa" w:w="1310"/>
          </w:tcPr>
          <w:p>
            <w:pPr>
              <w:spacing w:after="40"/>
            </w:pPr>
            <w:r>
              <w:rPr>
                <w:sz w:val="19"/>
              </w:rPr>
              <w:t>30%</w:t>
            </w:r>
          </w:p>
        </w:tc>
        <w:tc>
          <w:tcPr>
            <w:tcW w:type="dxa" w:w="5429"/>
          </w:tcPr>
          <w:p>
            <w:pPr>
              <w:spacing w:after="40"/>
            </w:pPr>
            <w:r>
              <w:rPr>
                <w:sz w:val="19"/>
              </w:rPr>
              <w:t>LLM</w:t>
            </w:r>
          </w:p>
        </w:tc>
      </w:tr>
      <w:tr>
        <w:tc>
          <w:tcPr>
            <w:tcW w:type="dxa" w:w="2621"/>
            <w:shd w:val="clear" w:fill="F2F6FA"/>
          </w:tcPr>
          <w:p>
            <w:pPr>
              <w:spacing w:after="40"/>
            </w:pPr>
            <w:r>
              <w:rPr>
                <w:sz w:val="19"/>
              </w:rPr>
              <w:t>STAR compliance</w:t>
            </w:r>
          </w:p>
        </w:tc>
        <w:tc>
          <w:tcPr>
            <w:tcW w:type="dxa" w:w="1310"/>
            <w:shd w:val="clear" w:fill="F2F6FA"/>
          </w:tcPr>
          <w:p>
            <w:pPr>
              <w:spacing w:after="40"/>
            </w:pPr>
            <w:r>
              <w:rPr>
                <w:sz w:val="19"/>
              </w:rPr>
              <w:t>30%</w:t>
            </w:r>
          </w:p>
        </w:tc>
        <w:tc>
          <w:tcPr>
            <w:tcW w:type="dxa" w:w="5429"/>
            <w:shd w:val="clear" w:fill="F2F6FA"/>
          </w:tcPr>
          <w:p>
            <w:pPr>
              <w:spacing w:after="40"/>
            </w:pPr>
            <w:r>
              <w:rPr>
                <w:sz w:val="19"/>
              </w:rPr>
              <w:t>LLM</w:t>
            </w:r>
          </w:p>
        </w:tc>
      </w:tr>
      <w:tr>
        <w:tc>
          <w:tcPr>
            <w:tcW w:type="dxa" w:w="2621"/>
          </w:tcPr>
          <w:p>
            <w:pPr>
              <w:spacing w:after="40"/>
            </w:pPr>
            <w:r>
              <w:rPr>
                <w:sz w:val="19"/>
              </w:rPr>
              <w:t>Specificity</w:t>
            </w:r>
          </w:p>
        </w:tc>
        <w:tc>
          <w:tcPr>
            <w:tcW w:type="dxa" w:w="1310"/>
          </w:tcPr>
          <w:p>
            <w:pPr>
              <w:spacing w:after="40"/>
            </w:pPr>
            <w:r>
              <w:rPr>
                <w:sz w:val="19"/>
              </w:rPr>
              <w:t>25%</w:t>
            </w:r>
          </w:p>
        </w:tc>
        <w:tc>
          <w:tcPr>
            <w:tcW w:type="dxa" w:w="5429"/>
          </w:tcPr>
          <w:p>
            <w:pPr>
              <w:spacing w:after="40"/>
            </w:pPr>
            <w:r>
              <w:rPr>
                <w:sz w:val="19"/>
              </w:rPr>
              <w:t>Hybrid — regex for numeric presence, LLM for whether the number is meaningful</w:t>
            </w:r>
          </w:p>
        </w:tc>
      </w:tr>
      <w:tr>
        <w:tc>
          <w:tcPr>
            <w:tcW w:type="dxa" w:w="2621"/>
            <w:shd w:val="clear" w:fill="F2F6FA"/>
          </w:tcPr>
          <w:p>
            <w:pPr>
              <w:spacing w:after="40"/>
            </w:pPr>
            <w:r>
              <w:rPr>
                <w:sz w:val="19"/>
              </w:rPr>
              <w:t>Format &amp; length</w:t>
            </w:r>
          </w:p>
        </w:tc>
        <w:tc>
          <w:tcPr>
            <w:tcW w:type="dxa" w:w="1310"/>
            <w:shd w:val="clear" w:fill="F2F6FA"/>
          </w:tcPr>
          <w:p>
            <w:pPr>
              <w:spacing w:after="40"/>
            </w:pPr>
            <w:r>
              <w:rPr>
                <w:sz w:val="19"/>
              </w:rPr>
              <w:t>15%</w:t>
            </w:r>
          </w:p>
        </w:tc>
        <w:tc>
          <w:tcPr>
            <w:tcW w:type="dxa" w:w="5429"/>
            <w:shd w:val="clear" w:fill="F2F6FA"/>
          </w:tcPr>
          <w:p>
            <w:pPr>
              <w:spacing w:after="40"/>
            </w:pPr>
            <w:r>
              <w:rPr>
                <w:b/>
                <w:sz w:val="19"/>
              </w:rPr>
              <w:t>Code</w:t>
            </w:r>
            <w:r>
              <w:rPr>
                <w:sz w:val="19"/>
              </w:rPr>
              <w:t xml:space="preserve"> — ≤150 chars, single line, LaTeX-safe, action-verb-first</w:t>
            </w:r>
          </w:p>
        </w:tc>
      </w:tr>
    </w:tbl>
    <w:p>
      <w:pPr>
        <w:spacing w:after="80"/>
      </w:pPr>
    </w:p>
    <w:p>
      <w:pPr>
        <w:spacing w:after="120"/>
      </w:pPr>
      <w:r>
        <w:t xml:space="preserve">Composite = weighted average. </w:t>
      </w:r>
      <w:r>
        <w:rPr>
          <w:b/>
        </w:rPr>
        <w:t>Threshold: 70%</w:t>
      </w:r>
      <w:r>
        <w:t xml:space="preserve"> (configurable).</w:t>
      </w:r>
    </w:p>
    <w:p>
      <w:pPr>
        <w:spacing w:after="120"/>
      </w:pPr>
      <w:r>
        <w:t>Making format/length deterministic removes 15% of the score from LLM judgment entirely, and the specificity regex removes part of another 25%. In v2, keyword match becomes a code-computed string match, pushing the objective share above 45%.</w:t>
      </w:r>
    </w:p>
    <w:p>
      <w:pPr>
        <w:pStyle w:val="Heading2"/>
      </w:pPr>
      <w:r>
        <w:t>7.4 Reason codes — the routing mechanism</w:t>
      </w:r>
    </w:p>
    <w:p>
      <w:pPr>
        <w:spacing w:after="120"/>
      </w:pPr>
      <w:r>
        <w:t>The self-scorer emits a reason code alongside the number. This is what makes retries meaningful rather than wasteful.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808"/>
            <w:shd w:val="clear" w:fill="1F4E79"/>
          </w:tcPr>
          <w:p>
            <w:pPr>
              <w:spacing w:after="40"/>
            </w:pPr>
            <w:r>
              <w:rPr>
                <w:b/>
                <w:color w:val="FFFFFF"/>
                <w:sz w:val="19"/>
              </w:rPr>
              <w:t>Reason code</w:t>
            </w:r>
          </w:p>
        </w:tc>
        <w:tc>
          <w:tcPr>
            <w:tcW w:type="dxa" w:w="3463"/>
            <w:shd w:val="clear" w:fill="1F4E79"/>
          </w:tcPr>
          <w:p>
            <w:pPr>
              <w:spacing w:after="40"/>
            </w:pPr>
            <w:r>
              <w:rPr>
                <w:b/>
                <w:color w:val="FFFFFF"/>
                <w:sz w:val="19"/>
              </w:rPr>
              <w:t>Cause</w:t>
            </w:r>
          </w:p>
        </w:tc>
        <w:tc>
          <w:tcPr>
            <w:tcW w:type="dxa" w:w="3089"/>
            <w:shd w:val="clear" w:fill="1F4E79"/>
          </w:tcPr>
          <w:p>
            <w:pPr>
              <w:spacing w:after="40"/>
            </w:pPr>
            <w:r>
              <w:rPr>
                <w:b/>
                <w:color w:val="FFFFFF"/>
                <w:sz w:val="19"/>
              </w:rPr>
              <w:t>Routing</w:t>
            </w:r>
          </w:p>
        </w:tc>
      </w:tr>
      <w:tr>
        <w:tc>
          <w:tcPr>
            <w:tcW w:type="dxa" w:w="2808"/>
          </w:tcPr>
          <w:p>
            <w:pPr>
              <w:spacing w:after="40"/>
            </w:pPr>
            <w:r>
              <w:rPr>
                <w:rFonts w:ascii="Consolas" w:hAnsi="Consolas"/>
                <w:color w:val="A31515"/>
                <w:sz w:val="16"/>
              </w:rPr>
              <w:t>WEAK_PHRASING</w:t>
            </w:r>
          </w:p>
        </w:tc>
        <w:tc>
          <w:tcPr>
            <w:tcW w:type="dxa" w:w="3463"/>
          </w:tcPr>
          <w:p>
            <w:pPr>
              <w:spacing w:after="40"/>
            </w:pPr>
            <w:r>
              <w:rPr>
                <w:sz w:val="19"/>
              </w:rPr>
              <w:t>Passive voice, no action verb, vague verb</w:t>
            </w:r>
          </w:p>
        </w:tc>
        <w:tc>
          <w:tcPr>
            <w:tcW w:type="dxa" w:w="3089"/>
          </w:tcPr>
          <w:p>
            <w:pPr>
              <w:spacing w:after="40"/>
            </w:pPr>
            <w:r>
              <w:rPr>
                <w:sz w:val="19"/>
              </w:rPr>
              <w:t>Retry (rewriting can fix this)</w:t>
            </w:r>
          </w:p>
        </w:tc>
      </w:tr>
      <w:tr>
        <w:tc>
          <w:tcPr>
            <w:tcW w:type="dxa" w:w="2808"/>
            <w:shd w:val="clear" w:fill="F2F6FA"/>
          </w:tcPr>
          <w:p>
            <w:pPr>
              <w:spacing w:after="40"/>
            </w:pPr>
            <w:r>
              <w:rPr>
                <w:rFonts w:ascii="Consolas" w:hAnsi="Consolas"/>
                <w:color w:val="A31515"/>
                <w:sz w:val="16"/>
              </w:rPr>
              <w:t>NO_STAR_STRUCTURE</w:t>
            </w:r>
          </w:p>
        </w:tc>
        <w:tc>
          <w:tcPr>
            <w:tcW w:type="dxa" w:w="3463"/>
            <w:shd w:val="clear" w:fill="F2F6FA"/>
          </w:tcPr>
          <w:p>
            <w:pPr>
              <w:spacing w:after="40"/>
            </w:pPr>
            <w:r>
              <w:rPr>
                <w:sz w:val="19"/>
              </w:rPr>
              <w:t>Missing action, context, or result</w:t>
            </w:r>
          </w:p>
        </w:tc>
        <w:tc>
          <w:tcPr>
            <w:tcW w:type="dxa" w:w="3089"/>
            <w:shd w:val="clear" w:fill="F2F6FA"/>
          </w:tcPr>
          <w:p>
            <w:pPr>
              <w:spacing w:after="40"/>
            </w:pPr>
            <w:r>
              <w:rPr>
                <w:sz w:val="19"/>
              </w:rPr>
              <w:t>Retry</w:t>
            </w:r>
          </w:p>
        </w:tc>
      </w:tr>
      <w:tr>
        <w:tc>
          <w:tcPr>
            <w:tcW w:type="dxa" w:w="2808"/>
          </w:tcPr>
          <w:p>
            <w:pPr>
              <w:spacing w:after="40"/>
            </w:pPr>
            <w:r>
              <w:rPr>
                <w:rFonts w:ascii="Consolas" w:hAnsi="Consolas"/>
                <w:color w:val="A31515"/>
                <w:sz w:val="16"/>
              </w:rPr>
              <w:t>TOO_LONG</w:t>
            </w:r>
            <w:r>
              <w:rPr>
                <w:sz w:val="19"/>
              </w:rPr>
              <w:t xml:space="preserve"> / </w:t>
            </w:r>
            <w:r>
              <w:rPr>
                <w:rFonts w:ascii="Consolas" w:hAnsi="Consolas"/>
                <w:color w:val="A31515"/>
                <w:sz w:val="16"/>
              </w:rPr>
              <w:t>FORMAT_FAIL</w:t>
            </w:r>
          </w:p>
        </w:tc>
        <w:tc>
          <w:tcPr>
            <w:tcW w:type="dxa" w:w="3463"/>
          </w:tcPr>
          <w:p>
            <w:pPr>
              <w:spacing w:after="40"/>
            </w:pPr>
            <w:r>
              <w:rPr>
                <w:sz w:val="19"/>
              </w:rPr>
              <w:t>&gt;150 chars, multi-line, unsafe chars</w:t>
            </w:r>
          </w:p>
        </w:tc>
        <w:tc>
          <w:tcPr>
            <w:tcW w:type="dxa" w:w="3089"/>
          </w:tcPr>
          <w:p>
            <w:pPr>
              <w:spacing w:after="40"/>
            </w:pPr>
            <w:r>
              <w:rPr>
                <w:sz w:val="19"/>
              </w:rPr>
              <w:t>Retry</w:t>
            </w:r>
          </w:p>
        </w:tc>
      </w:tr>
      <w:tr>
        <w:tc>
          <w:tcPr>
            <w:tcW w:type="dxa" w:w="2808"/>
            <w:shd w:val="clear" w:fill="F2F6FA"/>
          </w:tcPr>
          <w:p>
            <w:pPr>
              <w:spacing w:after="40"/>
            </w:pPr>
            <w:r>
              <w:rPr>
                <w:rFonts w:ascii="Consolas" w:hAnsi="Consolas"/>
                <w:color w:val="A31515"/>
                <w:sz w:val="16"/>
              </w:rPr>
              <w:t>NO_QUANTIFIABLE_DATA</w:t>
            </w:r>
          </w:p>
        </w:tc>
        <w:tc>
          <w:tcPr>
            <w:tcW w:type="dxa" w:w="3463"/>
            <w:shd w:val="clear" w:fill="F2F6FA"/>
          </w:tcPr>
          <w:p>
            <w:pPr>
              <w:spacing w:after="40"/>
            </w:pPr>
            <w:r>
              <w:rPr>
                <w:sz w:val="19"/>
              </w:rPr>
              <w:t>Source documents contain no metric for this claim</w:t>
            </w:r>
          </w:p>
        </w:tc>
        <w:tc>
          <w:tcPr>
            <w:tcW w:type="dxa" w:w="3089"/>
            <w:shd w:val="clear" w:fill="F2F6FA"/>
          </w:tcPr>
          <w:p>
            <w:pPr>
              <w:spacing w:after="40"/>
            </w:pPr>
            <w:r>
              <w:rPr>
                <w:b/>
                <w:sz w:val="19"/>
              </w:rPr>
              <w:t>Skip retries → clarification pass</w:t>
            </w:r>
          </w:p>
        </w:tc>
      </w:tr>
      <w:tr>
        <w:tc>
          <w:tcPr>
            <w:tcW w:type="dxa" w:w="2808"/>
          </w:tcPr>
          <w:p>
            <w:pPr>
              <w:spacing w:after="40"/>
            </w:pPr>
            <w:r>
              <w:rPr>
                <w:rFonts w:ascii="Consolas" w:hAnsi="Consolas"/>
                <w:color w:val="A31515"/>
                <w:sz w:val="16"/>
              </w:rPr>
              <w:t>WOULD_REQUIRE_FABRICATION</w:t>
            </w:r>
          </w:p>
        </w:tc>
        <w:tc>
          <w:tcPr>
            <w:tcW w:type="dxa" w:w="3463"/>
          </w:tcPr>
          <w:p>
            <w:pPr>
              <w:spacing w:after="40"/>
            </w:pPr>
            <w:r>
              <w:rPr>
                <w:sz w:val="19"/>
              </w:rPr>
              <w:t>Improving would mean inventing a claim</w:t>
            </w:r>
          </w:p>
        </w:tc>
        <w:tc>
          <w:tcPr>
            <w:tcW w:type="dxa" w:w="3089"/>
          </w:tcPr>
          <w:p>
            <w:pPr>
              <w:spacing w:after="40"/>
            </w:pPr>
            <w:r>
              <w:rPr>
                <w:b/>
                <w:sz w:val="19"/>
              </w:rPr>
              <w:t>Never retry → flag for human review</w:t>
            </w:r>
          </w:p>
        </w:tc>
      </w:tr>
    </w:tbl>
    <w:p>
      <w:pPr>
        <w:spacing w:after="80"/>
      </w:pPr>
    </w:p>
    <w:p>
      <w:pPr>
        <w:spacing w:after="120"/>
      </w:pPr>
      <w:r>
        <w:rPr>
          <w:b/>
        </w:rPr>
        <w:t>Rationale:</w:t>
      </w:r>
      <w:r>
        <w:t xml:space="preserve"> the original plan’s 3× retry loop assumes every weak bullet is a </w:t>
      </w:r>
      <w:r>
        <w:rPr>
          <w:i/>
        </w:rPr>
        <w:t>writing</w:t>
      </w:r>
      <w:r>
        <w:t xml:space="preserve"> problem. Many are </w:t>
      </w:r>
      <w:r>
        <w:rPr>
          <w:i/>
        </w:rPr>
        <w:t>data</w:t>
      </w:r>
      <w:r>
        <w:t xml:space="preserve"> problems — no amount of rewriting invents a metric that isn’t in the source. Burning three LLM calls to rediscover that wastes money and, worse, pressures the model toward fabrication. Reason codes route each failure to the mechanism that can actually fix it.</w:t>
      </w:r>
    </w:p>
    <w:p>
      <w:pPr>
        <w:spacing w:after="120"/>
      </w:pPr>
      <w:r>
        <w:rPr>
          <w:b/>
        </w:rPr>
        <w:t>Retry strategy</w:t>
      </w:r>
      <w:r>
        <w:t xml:space="preserve"> (for retryable codes only): attempt 1 — different angle; attempt 2 — different action verb + restructure; attempt 3 — accept best of all attempts. After 3, flag as </w:t>
      </w:r>
      <w:r>
        <w:rPr>
          <w:i/>
        </w:rPr>
        <w:t>Needs Human Review</w:t>
      </w:r>
      <w:r>
        <w:t>.</w:t>
      </w:r>
    </w:p>
    <w:p>
      <w:pPr>
        <w:pStyle w:val="Heading2"/>
      </w:pPr>
      <w:r>
        <w:t>7.5 Tool contracts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246"/>
            <w:shd w:val="clear" w:fill="1F4E79"/>
          </w:tcPr>
          <w:p>
            <w:pPr>
              <w:spacing w:after="40"/>
            </w:pPr>
            <w:r>
              <w:rPr>
                <w:b/>
                <w:color w:val="FFFFFF"/>
                <w:sz w:val="19"/>
              </w:rPr>
              <w:t>Tool</w:t>
            </w:r>
          </w:p>
        </w:tc>
        <w:tc>
          <w:tcPr>
            <w:tcW w:type="dxa" w:w="3557"/>
            <w:shd w:val="clear" w:fill="1F4E79"/>
          </w:tcPr>
          <w:p>
            <w:pPr>
              <w:spacing w:after="40"/>
            </w:pPr>
            <w:r>
              <w:rPr>
                <w:b/>
                <w:color w:val="FFFFFF"/>
                <w:sz w:val="19"/>
              </w:rPr>
              <w:t>In</w:t>
            </w:r>
          </w:p>
        </w:tc>
        <w:tc>
          <w:tcPr>
            <w:tcW w:type="dxa" w:w="3557"/>
            <w:shd w:val="clear" w:fill="1F4E79"/>
          </w:tcPr>
          <w:p>
            <w:pPr>
              <w:spacing w:after="40"/>
            </w:pPr>
            <w:r>
              <w:rPr>
                <w:b/>
                <w:color w:val="FFFFFF"/>
                <w:sz w:val="19"/>
              </w:rPr>
              <w:t>Out</w:t>
            </w:r>
          </w:p>
        </w:tc>
      </w:tr>
      <w:tr>
        <w:tc>
          <w:tcPr>
            <w:tcW w:type="dxa" w:w="2246"/>
          </w:tcPr>
          <w:p>
            <w:pPr>
              <w:spacing w:after="40"/>
            </w:pPr>
            <w:r>
              <w:rPr>
                <w:sz w:val="19"/>
              </w:rPr>
              <w:t>File Parser</w:t>
            </w:r>
          </w:p>
        </w:tc>
        <w:tc>
          <w:tcPr>
            <w:tcW w:type="dxa" w:w="3557"/>
          </w:tcPr>
          <w:p>
            <w:pPr>
              <w:spacing w:after="40"/>
            </w:pPr>
            <w:r>
              <w:rPr>
                <w:sz w:val="19"/>
              </w:rPr>
              <w:t>File blob</w:t>
            </w:r>
          </w:p>
        </w:tc>
        <w:tc>
          <w:tcPr>
            <w:tcW w:type="dxa" w:w="3557"/>
          </w:tcPr>
          <w:p>
            <w:pPr>
              <w:spacing w:after="40"/>
            </w:pPr>
            <w:r>
              <w:rPr>
                <w:rFonts w:ascii="Consolas" w:hAnsi="Consolas"/>
                <w:color w:val="A31515"/>
                <w:sz w:val="16"/>
              </w:rPr>
              <w:t>{text, sourceType}</w:t>
            </w:r>
          </w:p>
        </w:tc>
      </w:tr>
      <w:tr>
        <w:tc>
          <w:tcPr>
            <w:tcW w:type="dxa" w:w="2246"/>
            <w:shd w:val="clear" w:fill="F2F6FA"/>
          </w:tcPr>
          <w:p>
            <w:pPr>
              <w:spacing w:after="40"/>
            </w:pPr>
            <w:r>
              <w:rPr>
                <w:sz w:val="19"/>
              </w:rPr>
              <w:t>Resume Decomposer</w:t>
            </w:r>
          </w:p>
        </w:tc>
        <w:tc>
          <w:tcPr>
            <w:tcW w:type="dxa" w:w="3557"/>
            <w:shd w:val="clear" w:fill="F2F6FA"/>
          </w:tcPr>
          <w:p>
            <w:pPr>
              <w:spacing w:after="40"/>
            </w:pPr>
            <w:r>
              <w:rPr>
                <w:sz w:val="19"/>
              </w:rPr>
              <w:t>Resume text, exp doc text</w:t>
            </w:r>
          </w:p>
        </w:tc>
        <w:tc>
          <w:tcPr>
            <w:tcW w:type="dxa" w:w="3557"/>
            <w:shd w:val="clear" w:fill="F2F6FA"/>
          </w:tcPr>
          <w:p>
            <w:pPr>
              <w:spacing w:after="40"/>
            </w:pPr>
            <w:r>
              <w:rPr>
                <w:rFonts w:ascii="Consolas" w:hAnsi="Consolas"/>
                <w:color w:val="A31515"/>
                <w:sz w:val="16"/>
              </w:rPr>
              <w:t>Bullet[]</w:t>
            </w:r>
          </w:p>
        </w:tc>
      </w:tr>
      <w:tr>
        <w:tc>
          <w:tcPr>
            <w:tcW w:type="dxa" w:w="2246"/>
          </w:tcPr>
          <w:p>
            <w:pPr>
              <w:spacing w:after="40"/>
            </w:pPr>
            <w:r>
              <w:rPr>
                <w:sz w:val="19"/>
              </w:rPr>
              <w:t>Competency Mapper</w:t>
            </w:r>
          </w:p>
        </w:tc>
        <w:tc>
          <w:tcPr>
            <w:tcW w:type="dxa" w:w="3557"/>
          </w:tcPr>
          <w:p>
            <w:pPr>
              <w:spacing w:after="40"/>
            </w:pPr>
            <w:r>
              <w:rPr>
                <w:rFonts w:ascii="Consolas" w:hAnsi="Consolas"/>
                <w:color w:val="A31515"/>
                <w:sz w:val="16"/>
              </w:rPr>
              <w:t>Bullet[]</w:t>
            </w:r>
            <w:r>
              <w:rPr>
                <w:sz w:val="19"/>
              </w:rPr>
              <w:t>, seniority</w:t>
            </w:r>
          </w:p>
        </w:tc>
        <w:tc>
          <w:tcPr>
            <w:tcW w:type="dxa" w:w="3557"/>
          </w:tcPr>
          <w:p>
            <w:pPr>
              <w:spacing w:after="40"/>
            </w:pPr>
            <w:r>
              <w:rPr>
                <w:rFonts w:ascii="Consolas" w:hAnsi="Consolas"/>
                <w:color w:val="A31515"/>
                <w:sz w:val="16"/>
              </w:rPr>
              <w:t>ScoredBullet[]</w:t>
            </w:r>
            <w:r>
              <w:rPr>
                <w:sz w:val="19"/>
              </w:rPr>
              <w:t xml:space="preserve">, </w:t>
            </w:r>
            <w:r>
              <w:rPr>
                <w:rFonts w:ascii="Consolas" w:hAnsi="Consolas"/>
                <w:color w:val="A31515"/>
                <w:sz w:val="16"/>
              </w:rPr>
              <w:t>CoverageReport</w:t>
            </w:r>
          </w:p>
        </w:tc>
      </w:tr>
      <w:tr>
        <w:tc>
          <w:tcPr>
            <w:tcW w:type="dxa" w:w="2246"/>
            <w:shd w:val="clear" w:fill="F2F6FA"/>
          </w:tcPr>
          <w:p>
            <w:pPr>
              <w:spacing w:after="40"/>
            </w:pPr>
            <w:r>
              <w:rPr>
                <w:sz w:val="19"/>
              </w:rPr>
              <w:t>STAR Rewriter</w:t>
            </w:r>
          </w:p>
        </w:tc>
        <w:tc>
          <w:tcPr>
            <w:tcW w:type="dxa" w:w="3557"/>
            <w:shd w:val="clear" w:fill="F2F6FA"/>
          </w:tcPr>
          <w:p>
            <w:pPr>
              <w:spacing w:after="40"/>
            </w:pPr>
            <w:r>
              <w:rPr>
                <w:rFonts w:ascii="Consolas" w:hAnsi="Consolas"/>
                <w:color w:val="A31515"/>
                <w:sz w:val="16"/>
              </w:rPr>
              <w:t>Bullet</w:t>
            </w:r>
            <w:r>
              <w:rPr>
                <w:sz w:val="19"/>
              </w:rPr>
              <w:t>, source context, attempt#, prior attempts</w:t>
            </w:r>
          </w:p>
        </w:tc>
        <w:tc>
          <w:tcPr>
            <w:tcW w:type="dxa" w:w="3557"/>
            <w:shd w:val="clear" w:fill="F2F6FA"/>
          </w:tcPr>
          <w:p>
            <w:pPr>
              <w:spacing w:after="40"/>
            </w:pPr>
            <w:r>
              <w:rPr>
                <w:rFonts w:ascii="Consolas" w:hAnsi="Consolas"/>
                <w:color w:val="A31515"/>
                <w:sz w:val="16"/>
              </w:rPr>
              <w:t>{rewrite, rationale}</w:t>
            </w:r>
          </w:p>
        </w:tc>
      </w:tr>
      <w:tr>
        <w:tc>
          <w:tcPr>
            <w:tcW w:type="dxa" w:w="2246"/>
          </w:tcPr>
          <w:p>
            <w:pPr>
              <w:spacing w:after="40"/>
            </w:pPr>
            <w:r>
              <w:rPr>
                <w:sz w:val="19"/>
              </w:rPr>
              <w:t>Self-Scorer</w:t>
            </w:r>
          </w:p>
        </w:tc>
        <w:tc>
          <w:tcPr>
            <w:tcW w:type="dxa" w:w="3557"/>
          </w:tcPr>
          <w:p>
            <w:pPr>
              <w:spacing w:after="40"/>
            </w:pPr>
            <w:r>
              <w:rPr>
                <w:rFonts w:ascii="Consolas" w:hAnsi="Consolas"/>
                <w:color w:val="A31515"/>
                <w:sz w:val="16"/>
              </w:rPr>
              <w:t>{original, rewrite, sourceContext}</w:t>
            </w:r>
          </w:p>
        </w:tc>
        <w:tc>
          <w:tcPr>
            <w:tcW w:type="dxa" w:w="3557"/>
          </w:tcPr>
          <w:p>
            <w:pPr>
              <w:spacing w:after="40"/>
            </w:pPr>
            <w:r>
              <w:rPr>
                <w:rFonts w:ascii="Consolas" w:hAnsi="Consolas"/>
                <w:color w:val="A31515"/>
                <w:sz w:val="16"/>
              </w:rPr>
              <w:t>{scores, composite, reasonCode}</w:t>
            </w:r>
          </w:p>
        </w:tc>
      </w:tr>
      <w:tr>
        <w:tc>
          <w:tcPr>
            <w:tcW w:type="dxa" w:w="2246"/>
            <w:shd w:val="clear" w:fill="F2F6FA"/>
          </w:tcPr>
          <w:p>
            <w:pPr>
              <w:spacing w:after="40"/>
            </w:pPr>
            <w:r>
              <w:rPr>
                <w:sz w:val="19"/>
              </w:rPr>
              <w:t>Question Generator</w:t>
            </w:r>
          </w:p>
        </w:tc>
        <w:tc>
          <w:tcPr>
            <w:tcW w:type="dxa" w:w="3557"/>
            <w:shd w:val="clear" w:fill="F2F6FA"/>
          </w:tcPr>
          <w:p>
            <w:pPr>
              <w:spacing w:after="40"/>
            </w:pPr>
            <w:r>
              <w:rPr>
                <w:rFonts w:ascii="Consolas" w:hAnsi="Consolas"/>
                <w:color w:val="A31515"/>
                <w:sz w:val="16"/>
              </w:rPr>
              <w:t>Bullet[]</w:t>
            </w:r>
            <w:r>
              <w:rPr>
                <w:sz w:val="19"/>
              </w:rPr>
              <w:t xml:space="preserve"> with </w:t>
            </w:r>
            <w:r>
              <w:rPr>
                <w:rFonts w:ascii="Consolas" w:hAnsi="Consolas"/>
                <w:color w:val="A31515"/>
                <w:sz w:val="16"/>
              </w:rPr>
              <w:t>NO_QUANTIFIABLE_DATA</w:t>
            </w:r>
          </w:p>
        </w:tc>
        <w:tc>
          <w:tcPr>
            <w:tcW w:type="dxa" w:w="3557"/>
            <w:shd w:val="clear" w:fill="F2F6FA"/>
          </w:tcPr>
          <w:p>
            <w:pPr>
              <w:spacing w:after="40"/>
            </w:pPr>
            <w:r>
              <w:rPr>
                <w:rFonts w:ascii="Consolas" w:hAnsi="Consolas"/>
                <w:color w:val="A31515"/>
                <w:sz w:val="16"/>
              </w:rPr>
              <w:t>Question[]</w:t>
            </w:r>
            <w:r>
              <w:rPr>
                <w:sz w:val="19"/>
              </w:rPr>
              <w:t xml:space="preserve"> (≤5)</w:t>
            </w:r>
          </w:p>
        </w:tc>
      </w:tr>
      <w:tr>
        <w:tc>
          <w:tcPr>
            <w:tcW w:type="dxa" w:w="2246"/>
          </w:tcPr>
          <w:p>
            <w:pPr>
              <w:spacing w:after="40"/>
            </w:pPr>
            <w:r>
              <w:rPr>
                <w:sz w:val="19"/>
              </w:rPr>
              <w:t>Report Compiler</w:t>
            </w:r>
          </w:p>
        </w:tc>
        <w:tc>
          <w:tcPr>
            <w:tcW w:type="dxa" w:w="3557"/>
          </w:tcPr>
          <w:p>
            <w:pPr>
              <w:spacing w:after="40"/>
            </w:pPr>
            <w:r>
              <w:rPr>
                <w:sz w:val="19"/>
              </w:rPr>
              <w:t>All of the above</w:t>
            </w:r>
          </w:p>
        </w:tc>
        <w:tc>
          <w:tcPr>
            <w:tcW w:type="dxa" w:w="3557"/>
          </w:tcPr>
          <w:p>
            <w:pPr>
              <w:spacing w:after="40"/>
            </w:pPr>
            <w:r>
              <w:rPr>
                <w:rFonts w:ascii="Consolas" w:hAnsi="Consolas"/>
                <w:color w:val="A31515"/>
                <w:sz w:val="16"/>
              </w:rPr>
              <w:t>OutputReport</w:t>
            </w:r>
          </w:p>
        </w:tc>
      </w:tr>
    </w:tbl>
    <w:p>
      <w:pPr>
        <w:spacing w:after="80"/>
      </w:pPr>
    </w:p>
    <w:p>
      <w:pPr>
        <w:spacing w:after="120"/>
      </w:pPr>
      <w:r>
        <w:t xml:space="preserve">Every LLM tool uses </w:t>
      </w:r>
      <w:r>
        <w:rPr>
          <w:b/>
        </w:rPr>
        <w:t>structured outputs</w:t>
      </w:r>
      <w:r>
        <w:t xml:space="preserve"> (</w:t>
      </w:r>
      <w:r>
        <w:rPr>
          <w:rFonts w:ascii="Consolas" w:hAnsi="Consolas"/>
          <w:color w:val="A31515"/>
          <w:sz w:val="18"/>
        </w:rPr>
        <w:t>output_config.format</w:t>
      </w:r>
      <w:r>
        <w:t xml:space="preserve"> with a JSON schema) so responses are guaranteed parseable — no regex-scraping model output.</w:t>
      </w:r>
    </w:p>
    <w:p>
      <w:pPr>
        <w:pStyle w:val="Heading2"/>
      </w:pPr>
      <w:r>
        <w:t>7.6 Scoring the resume overall</w:t>
      </w:r>
    </w:p>
    <w:p>
      <w:pPr>
        <w:spacing w:after="120"/>
      </w:pPr>
      <w:r>
        <w:rPr>
          <w:b/>
        </w:rPr>
        <w:t>Competency Coverage</w:t>
      </w:r>
      <w:r>
        <w:t>, computed in code, identically before and after:</w:t>
      </w:r>
    </w:p>
    <w:p>
      <w:pPr>
        <w:spacing w:after="160" w:before="0" w:line="240" w:lineRule="auto"/>
        <w:ind w:left="173"/>
        <w:shd w:val="clear" w:fill="F4F4F4"/>
      </w:pPr>
      <w:r>
        <w:rPr>
          <w:rFonts w:ascii="Consolas" w:hAnsi="Consolas"/>
          <w:sz w:val="17"/>
        </w:rPr>
        <w:t>coverage = (competencies with &gt;=1 strong bullet) / 7</w:t>
      </w:r>
    </w:p>
    <w:p>
      <w:pPr>
        <w:spacing w:after="120"/>
      </w:pPr>
      <w:r>
        <w:t>Displayed alongside a per-competency bullet count. Before/after use the same function, so the delta is real.</w:t>
      </w:r>
    </w:p>
    <w:p>
      <w:pPr>
        <w:spacing w:after="120"/>
      </w:pPr>
      <w:r>
        <w:rPr>
          <w:b/>
        </w:rPr>
        <w:t>We do not call this an ATS score.</w:t>
      </w:r>
      <w:r>
        <w:t xml:space="preserve"> No applicant tracking system scores resumes this way, and claiming otherwise is the kind of thing that reads as naïve to anyone who knows the space. The label is "Competency Coverage," and the methodology is shown on hover.</w:t>
      </w:r>
    </w:p>
    <w:p>
      <w:pPr>
        <w:pStyle w:val="Heading1"/>
      </w:pPr>
      <w:r>
        <w:t>8. Eval plan</w:t>
      </w:r>
    </w:p>
    <w:p>
      <w:pPr>
        <w:spacing w:after="120"/>
      </w:pPr>
      <w:r>
        <w:t>This section is what separates this from a project that merely ships an agent.</w:t>
      </w:r>
    </w:p>
    <w:p>
      <w:pPr>
        <w:spacing w:after="120"/>
      </w:pPr>
      <w:r>
        <w:rPr>
          <w:b/>
        </w:rPr>
        <w:t>The problem:</w:t>
      </w:r>
      <w:r>
        <w:t xml:space="preserve"> the agent grades itself. Same model, same context, and self-evaluation skews generous. Nothing in the architecture validates the grader.</w:t>
      </w:r>
    </w:p>
    <w:p>
      <w:pPr>
        <w:spacing w:after="120"/>
      </w:pPr>
      <w:r>
        <w:rPr>
          <w:b/>
        </w:rPr>
        <w:t>The golden set:</w:t>
      </w:r>
      <w:r>
        <w:t xml:space="preserve"> ~30 bullets — a mix of genuinely strong, mediocre, and weak, spanning all 7 competencies and 3 seniority levels. Each hand-labeled by Raju with: accept/reject, primary competency, and the reason it fails (mapped to the reason-code taxonomy).</w:t>
      </w:r>
    </w:p>
    <w:p>
      <w:pPr>
        <w:spacing w:after="120"/>
      </w:pPr>
      <w:r>
        <w:rPr>
          <w:b/>
        </w:rPr>
        <w:t>What it measures:</w:t>
      </w:r>
    </w:p>
    <w:p>
      <w:pPr>
        <w:pStyle w:val="ListNumber"/>
        <w:spacing w:after="60"/>
      </w:pPr>
      <w:r>
        <w:rPr>
          <w:b/>
        </w:rPr>
        <w:t>Accept/reject agreement</w:t>
      </w:r>
      <w:r>
        <w:t xml:space="preserve"> — does the scorer’s ≥70% call match the human call? Target ≥80%. </w:t>
      </w:r>
      <w:r>
        <w:rPr>
          <w:i/>
        </w:rPr>
        <w:t>This is the number that validates the whole architecture.</w:t>
      </w:r>
    </w:p>
    <w:p>
      <w:pPr>
        <w:pStyle w:val="ListNumber"/>
        <w:spacing w:after="60"/>
      </w:pPr>
      <w:r>
        <w:rPr>
          <w:b/>
        </w:rPr>
        <w:t>Threshold calibration</w:t>
      </w:r>
      <w:r>
        <w:t xml:space="preserve"> — sweep 60/65/70/75/80 against the golden set and pick the threshold that maximizes agreement rather than assuming 70 is right.</w:t>
      </w:r>
    </w:p>
    <w:p>
      <w:pPr>
        <w:pStyle w:val="ListNumber"/>
        <w:spacing w:after="60"/>
      </w:pPr>
      <w:r>
        <w:rPr>
          <w:b/>
        </w:rPr>
        <w:t>Reason-code accuracy</w:t>
      </w:r>
      <w:r>
        <w:t xml:space="preserve"> — when the scorer says </w:t>
      </w:r>
      <w:r>
        <w:rPr>
          <w:rFonts w:ascii="Consolas" w:hAnsi="Consolas"/>
          <w:color w:val="A31515"/>
          <w:sz w:val="18"/>
        </w:rPr>
        <w:t>NO_QUANTIFIABLE_DATA</w:t>
      </w:r>
      <w:r>
        <w:t>, is that actually true? Misrouting here sends users pointless questions.</w:t>
      </w:r>
    </w:p>
    <w:p>
      <w:pPr>
        <w:pStyle w:val="ListNumber"/>
        <w:spacing w:after="60"/>
      </w:pPr>
      <w:r>
        <w:rPr>
          <w:b/>
        </w:rPr>
        <w:t>Competency-tag accuracy</w:t>
      </w:r>
      <w:r>
        <w:t xml:space="preserve"> — does the tag match the human label?</w:t>
      </w:r>
    </w:p>
    <w:p>
      <w:pPr>
        <w:spacing w:after="120"/>
      </w:pPr>
      <w:r>
        <w:rPr>
          <w:b/>
        </w:rPr>
        <w:t>Cadence:</w:t>
      </w:r>
      <w:r>
        <w:t xml:space="preserve"> run before launch, and after any change to the rubric, the threshold, or a scoring prompt. Results checked into the repo.</w:t>
      </w:r>
    </w:p>
    <w:p>
      <w:pPr>
        <w:spacing w:after="120"/>
      </w:pPr>
      <w:r>
        <w:rPr>
          <w:b/>
        </w:rPr>
        <w:t>Fabrication audit:</w:t>
      </w:r>
      <w:r>
        <w:t xml:space="preserve"> separately, 50 rewrites manually checked against source documents. Any invented claim is a P0 bug — this is the one metric with zero tolerance.</w:t>
      </w:r>
    </w:p>
    <w:p>
      <w:pPr>
        <w:pStyle w:val="Heading1"/>
      </w:pPr>
      <w:r>
        <w:t>9. Guardrails</w:t>
      </w:r>
    </w:p>
    <w:p>
      <w:pPr>
        <w:spacing w:after="120"/>
      </w:pPr>
      <w:r>
        <w:rPr>
          <w:b/>
        </w:rPr>
        <w:t>No fabrication.</w:t>
      </w:r>
      <w:r>
        <w:t xml:space="preserve"> Rewrites draw only on claims present in the resume or experience doc. The self-scorer explicitly checks for introduced claims and penalizes them. If a bullet cannot be improved without inventing something, it’s flagged (</w:t>
      </w:r>
      <w:r>
        <w:rPr>
          <w:rFonts w:ascii="Consolas" w:hAnsi="Consolas"/>
          <w:color w:val="A31515"/>
          <w:sz w:val="18"/>
        </w:rPr>
        <w:t>WOULD_REQUIRE_FABRICATION</w:t>
      </w:r>
      <w:r>
        <w:t>), never silently improved. Regenerate-with-prompt is subject to the same check — a user prompt asking for an unsupported claim is refused with an explanation.</w:t>
      </w:r>
    </w:p>
    <w:p>
      <w:pPr>
        <w:spacing w:after="120"/>
      </w:pPr>
      <w:r>
        <w:rPr>
          <w:b/>
        </w:rPr>
        <w:t>Scoring integrity.</w:t>
      </w:r>
      <w:r>
        <w:t xml:space="preserve"> The rubric is fixed and shown to the user. The agent cannot inflate its own scores. If the threshold isn’t met after 3 retries, the bullet is honestly flagged rather than accepted.</w:t>
      </w:r>
    </w:p>
    <w:p>
      <w:pPr>
        <w:spacing w:after="120"/>
      </w:pPr>
      <w:r>
        <w:rPr>
          <w:b/>
        </w:rPr>
        <w:t>Honest scoring.</w:t>
      </w:r>
      <w:r>
        <w:t xml:space="preserve"> Never labeled "ATS match." Before/after use identical methodology. No keyword stuffing — bullets must stay readable, and the specificity criterion penalizes stuffed text.</w:t>
      </w:r>
    </w:p>
    <w:p>
      <w:pPr>
        <w:spacing w:after="120"/>
      </w:pPr>
      <w:r>
        <w:rPr>
          <w:b/>
        </w:rPr>
        <w:t>Agent boundaries.</w:t>
      </w:r>
      <w:r>
        <w:t xml:space="preserve"> The agent may parse, analyze, rewrite, score, retry, and ask clarifying questions. It may not modify the user’s original files, persist data, or make external calls beyond the LLM API. Retries capped at 3/bullet. Tool failures are logged and fall back — never a silent crash.</w:t>
      </w:r>
    </w:p>
    <w:p>
      <w:pPr>
        <w:spacing w:after="120"/>
      </w:pPr>
      <w:r>
        <w:rPr>
          <w:b/>
        </w:rPr>
        <w:t>Privacy.</w:t>
      </w:r>
      <w:r>
        <w:t xml:space="preserve"> Fully stateless. No database, no accounts, no analytics on resume content. Resume text is sent to the LLM API and nowhere else. API keys live in Vercel env vars, never client-side.</w:t>
      </w:r>
    </w:p>
    <w:p>
      <w:pPr>
        <w:spacing w:after="120"/>
      </w:pPr>
      <w:r>
        <w:rPr>
          <w:b/>
        </w:rPr>
        <w:t>Regeneration limits.</w:t>
      </w:r>
      <w:r>
        <w:t xml:space="preserve"> Regenerate runs only the rewriter + scorer for that one bullet. Rejected versions are not repeated. After 5 user-driven regenerations, the UI suggests moving on.</w:t>
      </w:r>
    </w:p>
    <w:p>
      <w:pPr>
        <w:pStyle w:val="Heading1"/>
      </w:pPr>
      <w:r>
        <w:t>10. Architecture</w:t>
      </w:r>
    </w:p>
    <w:p>
      <w:pPr>
        <w:pStyle w:val="Heading2"/>
      </w:pPr>
      <w:r>
        <w:t>10.1 Shape</w:t>
      </w:r>
    </w:p>
    <w:p>
      <w:pPr>
        <w:spacing w:after="0" w:before="0" w:line="240" w:lineRule="auto"/>
        <w:ind w:left="173"/>
        <w:shd w:val="clear" w:fill="F4F4F4"/>
      </w:pPr>
      <w:r>
        <w:rPr>
          <w:rFonts w:ascii="Consolas" w:hAnsi="Consolas"/>
          <w:sz w:val="17"/>
        </w:rPr>
        <w:t>React (Vite + Tailwind)            Vercel serverless</w:t>
      </w:r>
    </w:p>
    <w:p>
      <w:pPr>
        <w:spacing w:after="0" w:before="0" w:line="240" w:lineRule="auto"/>
        <w:ind w:left="173"/>
        <w:shd w:val="clear" w:fill="F4F4F4"/>
      </w:pPr>
      <w:r>
        <w:rPr>
          <w:rFonts w:ascii="Consolas" w:hAnsi="Consolas"/>
          <w:sz w:val="17"/>
        </w:rPr>
        <w:t>+----------------------+          +---------------------+</w:t>
      </w:r>
    </w:p>
    <w:p>
      <w:pPr>
        <w:spacing w:after="0" w:before="0" w:line="240" w:lineRule="auto"/>
        <w:ind w:left="173"/>
        <w:shd w:val="clear" w:fill="F4F4F4"/>
      </w:pPr>
      <w:r>
        <w:rPr>
          <w:rFonts w:ascii="Consolas" w:hAnsi="Consolas"/>
          <w:sz w:val="17"/>
        </w:rPr>
        <w:t>| Client orchestrator  |---------&gt;| /api/decompose      |</w:t>
      </w:r>
    </w:p>
    <w:p>
      <w:pPr>
        <w:spacing w:after="0" w:before="0" w:line="240" w:lineRule="auto"/>
        <w:ind w:left="173"/>
        <w:shd w:val="clear" w:fill="F4F4F4"/>
      </w:pPr>
      <w:r>
        <w:rPr>
          <w:rFonts w:ascii="Consolas" w:hAnsi="Consolas"/>
          <w:sz w:val="17"/>
        </w:rPr>
        <w:t>|  - holds run state   |          | /api/map-competency |</w:t>
      </w:r>
    </w:p>
    <w:p>
      <w:pPr>
        <w:spacing w:after="0" w:before="0" w:line="240" w:lineRule="auto"/>
        <w:ind w:left="173"/>
        <w:shd w:val="clear" w:fill="F4F4F4"/>
      </w:pPr>
      <w:r>
        <w:rPr>
          <w:rFonts w:ascii="Consolas" w:hAnsi="Consolas"/>
          <w:sz w:val="17"/>
        </w:rPr>
        <w:t>|  - drives step loop  |          | /api/rewrite        |</w:t>
      </w:r>
    </w:p>
    <w:p>
      <w:pPr>
        <w:spacing w:after="0" w:before="0" w:line="240" w:lineRule="auto"/>
        <w:ind w:left="173"/>
        <w:shd w:val="clear" w:fill="F4F4F4"/>
      </w:pPr>
      <w:r>
        <w:rPr>
          <w:rFonts w:ascii="Consolas" w:hAnsi="Consolas"/>
          <w:sz w:val="17"/>
        </w:rPr>
        <w:t>|  - renders live log  |&lt;---------| /api/score          |</w:t>
      </w:r>
    </w:p>
    <w:p>
      <w:pPr>
        <w:spacing w:after="0" w:before="0" w:line="240" w:lineRule="auto"/>
        <w:ind w:left="173"/>
        <w:shd w:val="clear" w:fill="F4F4F4"/>
      </w:pPr>
      <w:r>
        <w:rPr>
          <w:rFonts w:ascii="Consolas" w:hAnsi="Consolas"/>
          <w:sz w:val="17"/>
        </w:rPr>
        <w:t>+----------------------+          | /api/questions      |</w:t>
      </w:r>
    </w:p>
    <w:p>
      <w:pPr>
        <w:spacing w:after="0" w:before="0" w:line="240" w:lineRule="auto"/>
        <w:ind w:left="173"/>
        <w:shd w:val="clear" w:fill="F4F4F4"/>
      </w:pPr>
      <w:r>
        <w:rPr>
          <w:rFonts w:ascii="Consolas" w:hAnsi="Consolas"/>
          <w:sz w:val="17"/>
        </w:rPr>
        <w:t xml:space="preserve">           |                      +---------------------+</w:t>
      </w:r>
    </w:p>
    <w:p>
      <w:pPr>
        <w:spacing w:after="0" w:before="0" w:line="240" w:lineRule="auto"/>
        <w:ind w:left="173"/>
        <w:shd w:val="clear" w:fill="F4F4F4"/>
      </w:pPr>
      <w:r>
        <w:rPr>
          <w:rFonts w:ascii="Consolas" w:hAnsi="Consolas"/>
          <w:sz w:val="17"/>
        </w:rPr>
        <w:t xml:space="preserve">           | client-side                     |</w:t>
      </w:r>
    </w:p>
    <w:p>
      <w:pPr>
        <w:spacing w:after="0" w:before="0" w:line="240" w:lineRule="auto"/>
        <w:ind w:left="173"/>
        <w:shd w:val="clear" w:fill="F4F4F4"/>
      </w:pPr>
      <w:r>
        <w:rPr>
          <w:rFonts w:ascii="Consolas" w:hAnsi="Consolas"/>
          <w:sz w:val="17"/>
        </w:rPr>
        <w:t xml:space="preserve">           v                                 v</w:t>
      </w:r>
    </w:p>
    <w:p>
      <w:pPr>
        <w:spacing w:after="160" w:before="0" w:line="240" w:lineRule="auto"/>
        <w:ind w:left="173"/>
        <w:shd w:val="clear" w:fill="F4F4F4"/>
      </w:pPr>
      <w:r>
        <w:rPr>
          <w:rFonts w:ascii="Consolas" w:hAnsi="Consolas"/>
          <w:sz w:val="17"/>
        </w:rPr>
        <w:t xml:space="preserve">   PDF.js / mammoth.js          Claude API (key server-side)</w:t>
      </w:r>
    </w:p>
    <w:p>
      <w:pPr>
        <w:spacing w:after="120"/>
      </w:pPr>
      <w:r>
        <w:rPr>
          <w:b/>
        </w:rPr>
        <w:t>Why the orchestrator lives in the client:</w:t>
      </w:r>
      <w:r>
        <w:t xml:space="preserve"> Vercel’s free tier caps serverless functions at ~10s. The full pipeline is 6+ LLM calls plus retries — 30–90s realistically. Splitting into per-step endpoints keeps every call comfortably inside the limit, keeps the app on the free tier, gives the progress log for free (each step return is a log line), and makes each step independently testable.</w:t>
      </w:r>
    </w:p>
    <w:p>
      <w:pPr>
        <w:spacing w:after="120"/>
      </w:pPr>
      <w:r>
        <w:rPr>
          <w:b/>
        </w:rPr>
        <w:t>Tradeoff:</w:t>
      </w:r>
      <w:r>
        <w:t xml:space="preserve"> run state lives in browser memory, so a refresh loses the run. Accepted for v1; the run is under 90s. Mitigation: warn on </w:t>
      </w:r>
      <w:r>
        <w:rPr>
          <w:rFonts w:ascii="Consolas" w:hAnsi="Consolas"/>
          <w:color w:val="A31515"/>
          <w:sz w:val="18"/>
        </w:rPr>
        <w:t>beforeunload</w:t>
      </w:r>
      <w:r>
        <w:t xml:space="preserve"> during an active run.</w:t>
      </w:r>
    </w:p>
    <w:p>
      <w:pPr>
        <w:spacing w:after="120"/>
      </w:pPr>
      <w:r>
        <w:rPr>
          <w:b/>
        </w:rPr>
        <w:t>API key never reaches the client.</w:t>
      </w:r>
      <w:r>
        <w:t xml:space="preserve"> Parsing is client-side (no file upload cost); every LLM call goes through a serverless proxy.</w:t>
      </w:r>
    </w:p>
    <w:p>
      <w:pPr>
        <w:pStyle w:val="Heading2"/>
      </w:pPr>
      <w:r>
        <w:t>10.2 Model configuration</w:t>
      </w:r>
    </w:p>
    <w:p>
      <w:pPr>
        <w:spacing w:after="120"/>
      </w:pPr>
      <w:r>
        <w:t>Single LLM service layer; provider and model set by env var so the abstraction stays swappable (a stated goal of the original plan).</w:t>
      </w:r>
    </w:p>
    <w:p>
      <w:pPr>
        <w:spacing w:after="120"/>
      </w:pPr>
      <w:r>
        <w:rPr>
          <w:b/>
        </w:rPr>
        <w:t>Default: `claude-opus-4-8`</w:t>
      </w:r>
      <w:r>
        <w:t xml:space="preserve"> for all tools.</w:t>
      </w:r>
    </w:p>
    <w:p>
      <w:pPr>
        <w:spacing w:after="120"/>
      </w:pPr>
      <w:r>
        <w:t>Per-tool model assignment is a config value, so cost/quality can be tuned per step without code changes. Current pricing per million tokens, for planning:</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3182"/>
            <w:shd w:val="clear" w:fill="1F4E79"/>
          </w:tcPr>
          <w:p>
            <w:pPr>
              <w:spacing w:after="40"/>
            </w:pPr>
            <w:r>
              <w:rPr>
                <w:b/>
                <w:color w:val="FFFFFF"/>
                <w:sz w:val="19"/>
              </w:rPr>
              <w:t>Model</w:t>
            </w:r>
          </w:p>
        </w:tc>
        <w:tc>
          <w:tcPr>
            <w:tcW w:type="dxa" w:w="3182"/>
            <w:shd w:val="clear" w:fill="1F4E79"/>
          </w:tcPr>
          <w:p>
            <w:pPr>
              <w:spacing w:after="40"/>
            </w:pPr>
            <w:r>
              <w:rPr>
                <w:b/>
                <w:color w:val="FFFFFF"/>
                <w:sz w:val="19"/>
              </w:rPr>
              <w:t>Input</w:t>
            </w:r>
          </w:p>
        </w:tc>
        <w:tc>
          <w:tcPr>
            <w:tcW w:type="dxa" w:w="2995"/>
            <w:shd w:val="clear" w:fill="1F4E79"/>
          </w:tcPr>
          <w:p>
            <w:pPr>
              <w:spacing w:after="40"/>
            </w:pPr>
            <w:r>
              <w:rPr>
                <w:b/>
                <w:color w:val="FFFFFF"/>
                <w:sz w:val="19"/>
              </w:rPr>
              <w:t>Output</w:t>
            </w:r>
          </w:p>
        </w:tc>
      </w:tr>
      <w:tr>
        <w:tc>
          <w:tcPr>
            <w:tcW w:type="dxa" w:w="3182"/>
          </w:tcPr>
          <w:p>
            <w:pPr>
              <w:spacing w:after="40"/>
            </w:pPr>
            <w:r>
              <w:rPr>
                <w:rFonts w:ascii="Consolas" w:hAnsi="Consolas"/>
                <w:color w:val="A31515"/>
                <w:sz w:val="16"/>
              </w:rPr>
              <w:t>claude-opus-4-8</w:t>
            </w:r>
          </w:p>
        </w:tc>
        <w:tc>
          <w:tcPr>
            <w:tcW w:type="dxa" w:w="3182"/>
          </w:tcPr>
          <w:p>
            <w:pPr>
              <w:spacing w:after="40"/>
            </w:pPr>
            <w:r>
              <w:rPr>
                <w:sz w:val="19"/>
              </w:rPr>
              <w:t>$5.00</w:t>
            </w:r>
          </w:p>
        </w:tc>
        <w:tc>
          <w:tcPr>
            <w:tcW w:type="dxa" w:w="2995"/>
          </w:tcPr>
          <w:p>
            <w:pPr>
              <w:spacing w:after="40"/>
            </w:pPr>
            <w:r>
              <w:rPr>
                <w:sz w:val="19"/>
              </w:rPr>
              <w:t>$25.00</w:t>
            </w:r>
          </w:p>
        </w:tc>
      </w:tr>
      <w:tr>
        <w:tc>
          <w:tcPr>
            <w:tcW w:type="dxa" w:w="3182"/>
            <w:shd w:val="clear" w:fill="F2F6FA"/>
          </w:tcPr>
          <w:p>
            <w:pPr>
              <w:spacing w:after="40"/>
            </w:pPr>
            <w:r>
              <w:rPr>
                <w:rFonts w:ascii="Consolas" w:hAnsi="Consolas"/>
                <w:color w:val="A31515"/>
                <w:sz w:val="16"/>
              </w:rPr>
              <w:t>claude-sonnet-5</w:t>
            </w:r>
          </w:p>
        </w:tc>
        <w:tc>
          <w:tcPr>
            <w:tcW w:type="dxa" w:w="3182"/>
            <w:shd w:val="clear" w:fill="F2F6FA"/>
          </w:tcPr>
          <w:p>
            <w:pPr>
              <w:spacing w:after="40"/>
            </w:pPr>
            <w:r>
              <w:rPr>
                <w:sz w:val="19"/>
              </w:rPr>
              <w:t>$3.00 ($2.00 intro thru 2026-08-31)</w:t>
            </w:r>
          </w:p>
        </w:tc>
        <w:tc>
          <w:tcPr>
            <w:tcW w:type="dxa" w:w="2995"/>
            <w:shd w:val="clear" w:fill="F2F6FA"/>
          </w:tcPr>
          <w:p>
            <w:pPr>
              <w:spacing w:after="40"/>
            </w:pPr>
            <w:r>
              <w:rPr>
                <w:sz w:val="19"/>
              </w:rPr>
              <w:t>$15.00 ($10.00 intro)</w:t>
            </w:r>
          </w:p>
        </w:tc>
      </w:tr>
      <w:tr>
        <w:tc>
          <w:tcPr>
            <w:tcW w:type="dxa" w:w="3182"/>
          </w:tcPr>
          <w:p>
            <w:pPr>
              <w:spacing w:after="40"/>
            </w:pPr>
            <w:r>
              <w:rPr>
                <w:rFonts w:ascii="Consolas" w:hAnsi="Consolas"/>
                <w:color w:val="A31515"/>
                <w:sz w:val="16"/>
              </w:rPr>
              <w:t>claude-haiku-4-5</w:t>
            </w:r>
          </w:p>
        </w:tc>
        <w:tc>
          <w:tcPr>
            <w:tcW w:type="dxa" w:w="3182"/>
          </w:tcPr>
          <w:p>
            <w:pPr>
              <w:spacing w:after="40"/>
            </w:pPr>
            <w:r>
              <w:rPr>
                <w:sz w:val="19"/>
              </w:rPr>
              <w:t>$1.00</w:t>
            </w:r>
          </w:p>
        </w:tc>
        <w:tc>
          <w:tcPr>
            <w:tcW w:type="dxa" w:w="2995"/>
          </w:tcPr>
          <w:p>
            <w:pPr>
              <w:spacing w:after="40"/>
            </w:pPr>
            <w:r>
              <w:rPr>
                <w:sz w:val="19"/>
              </w:rPr>
              <w:t>$5.00</w:t>
            </w:r>
          </w:p>
        </w:tc>
      </w:tr>
    </w:tbl>
    <w:p>
      <w:pPr>
        <w:spacing w:after="80"/>
      </w:pPr>
    </w:p>
    <w:p>
      <w:pPr>
        <w:spacing w:after="120"/>
      </w:pPr>
      <w:r>
        <w:t>The scorer is the highest-volume call (once per rewrite, plus retries) and the most mechanical, so it’s the natural first candidate if per-run cost needs to come down — but that’s a decision to make against measured cost and measured scorer agreement, not upfront. Changing the scorer model invalidates the golden-set calibration; re-run §8 after any such change.</w:t>
      </w:r>
    </w:p>
    <w:p>
      <w:pPr>
        <w:spacing w:after="120"/>
      </w:pPr>
      <w:r>
        <w:rPr>
          <w:b/>
        </w:rPr>
        <w:t>Request configuration:</w:t>
      </w:r>
    </w:p>
    <w:p>
      <w:pPr>
        <w:pStyle w:val="ListBullet"/>
        <w:spacing w:after="60"/>
      </w:pPr>
      <w:r>
        <w:rPr>
          <w:rFonts w:ascii="Consolas" w:hAnsi="Consolas"/>
          <w:color w:val="A31515"/>
          <w:sz w:val="18"/>
        </w:rPr>
        <w:t>thinking: {type: "adaptive"}</w:t>
      </w:r>
      <w:r>
        <w:t xml:space="preserve"> — set explicitly; omitting it on Opus 4.8 means no thinking. Rewriter and competency mapper benefit most.</w:t>
      </w:r>
    </w:p>
    <w:p>
      <w:pPr>
        <w:pStyle w:val="ListBullet"/>
        <w:spacing w:after="60"/>
      </w:pPr>
      <w:r>
        <w:rPr>
          <w:rFonts w:ascii="Consolas" w:hAnsi="Consolas"/>
          <w:color w:val="A31515"/>
          <w:sz w:val="18"/>
        </w:rPr>
        <w:t>output_config: {effort: ...}</w:t>
      </w:r>
      <w:r>
        <w:t xml:space="preserve"> — </w:t>
      </w:r>
      <w:r>
        <w:rPr>
          <w:rFonts w:ascii="Consolas" w:hAnsi="Consolas"/>
          <w:color w:val="A31515"/>
          <w:sz w:val="18"/>
        </w:rPr>
        <w:t>high</w:t>
      </w:r>
      <w:r>
        <w:t xml:space="preserve"> for rewriter/mapper, </w:t>
      </w:r>
      <w:r>
        <w:rPr>
          <w:rFonts w:ascii="Consolas" w:hAnsi="Consolas"/>
          <w:color w:val="A31515"/>
          <w:sz w:val="18"/>
        </w:rPr>
        <w:t>low</w:t>
      </w:r>
      <w:r>
        <w:t xml:space="preserve"> for scorer and question generation.</w:t>
      </w:r>
    </w:p>
    <w:p>
      <w:pPr>
        <w:pStyle w:val="ListBullet"/>
        <w:spacing w:after="60"/>
      </w:pPr>
      <w:r>
        <w:rPr>
          <w:rFonts w:ascii="Consolas" w:hAnsi="Consolas"/>
          <w:color w:val="A31515"/>
          <w:sz w:val="18"/>
        </w:rPr>
        <w:t>output_config: {format: {type: "json_schema", schema: ...}}</w:t>
      </w:r>
      <w:r>
        <w:t xml:space="preserve"> on every structured tool.</w:t>
      </w:r>
    </w:p>
    <w:p>
      <w:pPr>
        <w:pStyle w:val="ListBullet"/>
        <w:spacing w:after="60"/>
      </w:pPr>
      <w:r>
        <w:rPr>
          <w:b/>
        </w:rPr>
        <w:t>Prompt caching</w:t>
      </w:r>
      <w:r>
        <w:t xml:space="preserve"> on the source-document context. The resume + experience doc are re-sent on every rewrite and score call — with 14 bullets and retries that’s 30+ requests sharing the same prefix. Put </w:t>
      </w:r>
      <w:r>
        <w:rPr>
          <w:rFonts w:ascii="Consolas" w:hAnsi="Consolas"/>
          <w:color w:val="A31515"/>
          <w:sz w:val="18"/>
        </w:rPr>
        <w:t>cache_control: {type: "ephemeral"}</w:t>
      </w:r>
      <w:r>
        <w:t xml:space="preserve"> on the last source-context block. Note Opus 4.8’s minimum cacheable prefix is 4096 tokens; short resumes won’t cache, which is fine.</w:t>
      </w:r>
    </w:p>
    <w:p>
      <w:pPr>
        <w:pStyle w:val="ListBullet"/>
        <w:spacing w:after="60"/>
      </w:pPr>
      <w:r>
        <w:rPr>
          <w:rFonts w:ascii="Consolas" w:hAnsi="Consolas"/>
          <w:color w:val="A31515"/>
          <w:sz w:val="18"/>
        </w:rPr>
        <w:t>max_tokens</w:t>
      </w:r>
      <w:r>
        <w:t>: 4000 for rewrite/score (short outputs), 16000 for decompose.</w:t>
      </w:r>
    </w:p>
    <w:p>
      <w:pPr>
        <w:pStyle w:val="Heading1"/>
      </w:pPr>
      <w:r>
        <w:t>11. Build phases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562"/>
            <w:shd w:val="clear" w:fill="1F4E79"/>
          </w:tcPr>
          <w:p>
            <w:pPr>
              <w:spacing w:after="40"/>
            </w:pPr>
            <w:r>
              <w:rPr>
                <w:b/>
                <w:color w:val="FFFFFF"/>
                <w:sz w:val="19"/>
              </w:rPr>
              <w:t>#</w:t>
            </w:r>
          </w:p>
        </w:tc>
        <w:tc>
          <w:tcPr>
            <w:tcW w:type="dxa" w:w="6739"/>
            <w:shd w:val="clear" w:fill="1F4E79"/>
          </w:tcPr>
          <w:p>
            <w:pPr>
              <w:spacing w:after="40"/>
            </w:pPr>
            <w:r>
              <w:rPr>
                <w:b/>
                <w:color w:val="FFFFFF"/>
                <w:sz w:val="19"/>
              </w:rPr>
              <w:t>Deliverable</w:t>
            </w:r>
          </w:p>
        </w:tc>
        <w:tc>
          <w:tcPr>
            <w:tcW w:type="dxa" w:w="2059"/>
            <w:shd w:val="clear" w:fill="1F4E79"/>
          </w:tcPr>
          <w:p>
            <w:pPr>
              <w:spacing w:after="40"/>
            </w:pPr>
            <w:r>
              <w:rPr>
                <w:b/>
                <w:color w:val="FFFFFF"/>
                <w:sz w:val="19"/>
              </w:rPr>
              <w:t>Days</w:t>
            </w:r>
          </w:p>
        </w:tc>
      </w:tr>
      <w:tr>
        <w:tc>
          <w:tcPr>
            <w:tcW w:type="dxa" w:w="562"/>
          </w:tcPr>
          <w:p>
            <w:pPr>
              <w:spacing w:after="40"/>
            </w:pPr>
            <w:r>
              <w:rPr>
                <w:sz w:val="19"/>
              </w:rPr>
              <w:t>1</w:t>
            </w:r>
          </w:p>
        </w:tc>
        <w:tc>
          <w:tcPr>
            <w:tcW w:type="dxa" w:w="6739"/>
          </w:tcPr>
          <w:p>
            <w:pPr>
              <w:spacing w:after="40"/>
            </w:pPr>
            <w:r>
              <w:rPr>
                <w:sz w:val="19"/>
              </w:rPr>
              <w:t>UI scaffold — input, progress log, output shells</w:t>
            </w:r>
          </w:p>
        </w:tc>
        <w:tc>
          <w:tcPr>
            <w:tcW w:type="dxa" w:w="2059"/>
          </w:tcPr>
          <w:p>
            <w:pPr>
              <w:spacing w:after="40"/>
            </w:pPr>
            <w:r>
              <w:rPr>
                <w:sz w:val="19"/>
              </w:rPr>
              <w:t>1–2</w:t>
            </w:r>
          </w:p>
        </w:tc>
      </w:tr>
      <w:tr>
        <w:tc>
          <w:tcPr>
            <w:tcW w:type="dxa" w:w="562"/>
            <w:shd w:val="clear" w:fill="F2F6FA"/>
          </w:tcPr>
          <w:p>
            <w:pPr>
              <w:spacing w:after="40"/>
            </w:pPr>
            <w:r>
              <w:rPr>
                <w:sz w:val="19"/>
              </w:rPr>
              <w:t>2</w:t>
            </w:r>
          </w:p>
        </w:tc>
        <w:tc>
          <w:tcPr>
            <w:tcW w:type="dxa" w:w="6739"/>
            <w:shd w:val="clear" w:fill="F2F6FA"/>
          </w:tcPr>
          <w:p>
            <w:pPr>
              <w:spacing w:after="40"/>
            </w:pPr>
            <w:r>
              <w:rPr>
                <w:sz w:val="19"/>
              </w:rPr>
              <w:t>Client-side file parsing + text normalization</w:t>
            </w:r>
          </w:p>
        </w:tc>
        <w:tc>
          <w:tcPr>
            <w:tcW w:type="dxa" w:w="2059"/>
            <w:shd w:val="clear" w:fill="F2F6FA"/>
          </w:tcPr>
          <w:p>
            <w:pPr>
              <w:spacing w:after="40"/>
            </w:pPr>
            <w:r>
              <w:rPr>
                <w:sz w:val="19"/>
              </w:rPr>
              <w:t>2–3</w:t>
            </w:r>
          </w:p>
        </w:tc>
      </w:tr>
      <w:tr>
        <w:tc>
          <w:tcPr>
            <w:tcW w:type="dxa" w:w="562"/>
          </w:tcPr>
          <w:p>
            <w:pPr>
              <w:spacing w:after="40"/>
            </w:pPr>
            <w:r>
              <w:rPr>
                <w:sz w:val="19"/>
              </w:rPr>
              <w:t>3</w:t>
            </w:r>
          </w:p>
        </w:tc>
        <w:tc>
          <w:tcPr>
            <w:tcW w:type="dxa" w:w="6739"/>
          </w:tcPr>
          <w:p>
            <w:pPr>
              <w:spacing w:after="40"/>
            </w:pPr>
            <w:r>
              <w:rPr>
                <w:sz w:val="19"/>
              </w:rPr>
              <w:t>LLM service layer + first serverless endpoint (decompose)</w:t>
            </w:r>
          </w:p>
        </w:tc>
        <w:tc>
          <w:tcPr>
            <w:tcW w:type="dxa" w:w="2059"/>
          </w:tcPr>
          <w:p>
            <w:pPr>
              <w:spacing w:after="40"/>
            </w:pPr>
            <w:r>
              <w:rPr>
                <w:sz w:val="19"/>
              </w:rPr>
              <w:t>3–4</w:t>
            </w:r>
          </w:p>
        </w:tc>
      </w:tr>
      <w:tr>
        <w:tc>
          <w:tcPr>
            <w:tcW w:type="dxa" w:w="562"/>
            <w:shd w:val="clear" w:fill="F2F6FA"/>
          </w:tcPr>
          <w:p>
            <w:pPr>
              <w:spacing w:after="40"/>
            </w:pPr>
            <w:r>
              <w:rPr>
                <w:sz w:val="19"/>
              </w:rPr>
              <w:t>4</w:t>
            </w:r>
          </w:p>
        </w:tc>
        <w:tc>
          <w:tcPr>
            <w:tcW w:type="dxa" w:w="6739"/>
            <w:shd w:val="clear" w:fill="F2F6FA"/>
          </w:tcPr>
          <w:p>
            <w:pPr>
              <w:spacing w:after="40"/>
            </w:pPr>
            <w:r>
              <w:rPr>
                <w:sz w:val="19"/>
              </w:rPr>
              <w:t>Client orchestrator — step loop, state machine, progress log</w:t>
            </w:r>
          </w:p>
        </w:tc>
        <w:tc>
          <w:tcPr>
            <w:tcW w:type="dxa" w:w="2059"/>
            <w:shd w:val="clear" w:fill="F2F6FA"/>
          </w:tcPr>
          <w:p>
            <w:pPr>
              <w:spacing w:after="40"/>
            </w:pPr>
            <w:r>
              <w:rPr>
                <w:sz w:val="19"/>
              </w:rPr>
              <w:t>4–5</w:t>
            </w:r>
          </w:p>
        </w:tc>
      </w:tr>
      <w:tr>
        <w:tc>
          <w:tcPr>
            <w:tcW w:type="dxa" w:w="562"/>
          </w:tcPr>
          <w:p>
            <w:pPr>
              <w:spacing w:after="40"/>
            </w:pPr>
            <w:r>
              <w:rPr>
                <w:sz w:val="19"/>
              </w:rPr>
              <w:t>5</w:t>
            </w:r>
          </w:p>
        </w:tc>
        <w:tc>
          <w:tcPr>
            <w:tcW w:type="dxa" w:w="6739"/>
          </w:tcPr>
          <w:p>
            <w:pPr>
              <w:spacing w:after="40"/>
            </w:pPr>
            <w:r>
              <w:rPr>
                <w:sz w:val="19"/>
              </w:rPr>
              <w:t>Competency model + mapper tool</w:t>
            </w:r>
          </w:p>
        </w:tc>
        <w:tc>
          <w:tcPr>
            <w:tcW w:type="dxa" w:w="2059"/>
          </w:tcPr>
          <w:p>
            <w:pPr>
              <w:spacing w:after="40"/>
            </w:pPr>
            <w:r>
              <w:rPr>
                <w:sz w:val="19"/>
              </w:rPr>
              <w:t>5–6</w:t>
            </w:r>
          </w:p>
        </w:tc>
      </w:tr>
      <w:tr>
        <w:tc>
          <w:tcPr>
            <w:tcW w:type="dxa" w:w="562"/>
            <w:shd w:val="clear" w:fill="F2F6FA"/>
          </w:tcPr>
          <w:p>
            <w:pPr>
              <w:spacing w:after="40"/>
            </w:pPr>
            <w:r>
              <w:rPr>
                <w:sz w:val="19"/>
              </w:rPr>
              <w:t>6</w:t>
            </w:r>
          </w:p>
        </w:tc>
        <w:tc>
          <w:tcPr>
            <w:tcW w:type="dxa" w:w="6739"/>
            <w:shd w:val="clear" w:fill="F2F6FA"/>
          </w:tcPr>
          <w:p>
            <w:pPr>
              <w:spacing w:after="40"/>
            </w:pPr>
            <w:r>
              <w:rPr>
                <w:sz w:val="19"/>
              </w:rPr>
              <w:t>STAR rewriter</w:t>
            </w:r>
          </w:p>
        </w:tc>
        <w:tc>
          <w:tcPr>
            <w:tcW w:type="dxa" w:w="2059"/>
            <w:shd w:val="clear" w:fill="F2F6FA"/>
          </w:tcPr>
          <w:p>
            <w:pPr>
              <w:spacing w:after="40"/>
            </w:pPr>
            <w:r>
              <w:rPr>
                <w:sz w:val="19"/>
              </w:rPr>
              <w:t>6–7</w:t>
            </w:r>
          </w:p>
        </w:tc>
      </w:tr>
      <w:tr>
        <w:tc>
          <w:tcPr>
            <w:tcW w:type="dxa" w:w="562"/>
          </w:tcPr>
          <w:p>
            <w:pPr>
              <w:spacing w:after="40"/>
            </w:pPr>
            <w:r>
              <w:rPr>
                <w:sz w:val="19"/>
              </w:rPr>
              <w:t>7</w:t>
            </w:r>
          </w:p>
        </w:tc>
        <w:tc>
          <w:tcPr>
            <w:tcW w:type="dxa" w:w="6739"/>
          </w:tcPr>
          <w:p>
            <w:pPr>
              <w:spacing w:after="40"/>
            </w:pPr>
            <w:r>
              <w:rPr>
                <w:sz w:val="19"/>
              </w:rPr>
              <w:t>Self-scorer + reason codes + retry/routing logic</w:t>
            </w:r>
          </w:p>
        </w:tc>
        <w:tc>
          <w:tcPr>
            <w:tcW w:type="dxa" w:w="2059"/>
          </w:tcPr>
          <w:p>
            <w:pPr>
              <w:spacing w:after="40"/>
            </w:pPr>
            <w:r>
              <w:rPr>
                <w:sz w:val="19"/>
              </w:rPr>
              <w:t>7–9</w:t>
            </w:r>
          </w:p>
        </w:tc>
      </w:tr>
      <w:tr>
        <w:tc>
          <w:tcPr>
            <w:tcW w:type="dxa" w:w="562"/>
            <w:shd w:val="clear" w:fill="F2F6FA"/>
          </w:tcPr>
          <w:p>
            <w:pPr>
              <w:spacing w:after="40"/>
            </w:pPr>
            <w:r>
              <w:rPr>
                <w:sz w:val="19"/>
              </w:rPr>
              <w:t>8</w:t>
            </w:r>
          </w:p>
        </w:tc>
        <w:tc>
          <w:tcPr>
            <w:tcW w:type="dxa" w:w="6739"/>
            <w:shd w:val="clear" w:fill="F2F6FA"/>
          </w:tcPr>
          <w:p>
            <w:pPr>
              <w:spacing w:after="40"/>
            </w:pPr>
            <w:r>
              <w:rPr>
                <w:b/>
                <w:sz w:val="19"/>
              </w:rPr>
              <w:t>Golden set + eval harness</w:t>
            </w:r>
          </w:p>
        </w:tc>
        <w:tc>
          <w:tcPr>
            <w:tcW w:type="dxa" w:w="2059"/>
            <w:shd w:val="clear" w:fill="F2F6FA"/>
          </w:tcPr>
          <w:p>
            <w:pPr>
              <w:spacing w:after="40"/>
            </w:pPr>
            <w:r>
              <w:rPr>
                <w:sz w:val="19"/>
              </w:rPr>
              <w:t>9–10</w:t>
            </w:r>
          </w:p>
        </w:tc>
      </w:tr>
      <w:tr>
        <w:tc>
          <w:tcPr>
            <w:tcW w:type="dxa" w:w="562"/>
          </w:tcPr>
          <w:p>
            <w:pPr>
              <w:spacing w:after="40"/>
            </w:pPr>
            <w:r>
              <w:rPr>
                <w:sz w:val="19"/>
              </w:rPr>
              <w:t>9</w:t>
            </w:r>
          </w:p>
        </w:tc>
        <w:tc>
          <w:tcPr>
            <w:tcW w:type="dxa" w:w="6739"/>
          </w:tcPr>
          <w:p>
            <w:pPr>
              <w:spacing w:after="40"/>
            </w:pPr>
            <w:r>
              <w:rPr>
                <w:sz w:val="19"/>
              </w:rPr>
              <w:t>Threshold calibration against golden set</w:t>
            </w:r>
          </w:p>
        </w:tc>
        <w:tc>
          <w:tcPr>
            <w:tcW w:type="dxa" w:w="2059"/>
          </w:tcPr>
          <w:p>
            <w:pPr>
              <w:spacing w:after="40"/>
            </w:pPr>
            <w:r>
              <w:rPr>
                <w:sz w:val="19"/>
              </w:rPr>
              <w:t>10</w:t>
            </w:r>
          </w:p>
        </w:tc>
      </w:tr>
      <w:tr>
        <w:tc>
          <w:tcPr>
            <w:tcW w:type="dxa" w:w="562"/>
            <w:shd w:val="clear" w:fill="F2F6FA"/>
          </w:tcPr>
          <w:p>
            <w:pPr>
              <w:spacing w:after="40"/>
            </w:pPr>
            <w:r>
              <w:rPr>
                <w:sz w:val="19"/>
              </w:rPr>
              <w:t>10</w:t>
            </w:r>
          </w:p>
        </w:tc>
        <w:tc>
          <w:tcPr>
            <w:tcW w:type="dxa" w:w="6739"/>
            <w:shd w:val="clear" w:fill="F2F6FA"/>
          </w:tcPr>
          <w:p>
            <w:pPr>
              <w:spacing w:after="40"/>
            </w:pPr>
            <w:r>
              <w:rPr>
                <w:sz w:val="19"/>
              </w:rPr>
              <w:t>Clarification pass (questions + targeted re-run)</w:t>
            </w:r>
          </w:p>
        </w:tc>
        <w:tc>
          <w:tcPr>
            <w:tcW w:type="dxa" w:w="2059"/>
            <w:shd w:val="clear" w:fill="F2F6FA"/>
          </w:tcPr>
          <w:p>
            <w:pPr>
              <w:spacing w:after="40"/>
            </w:pPr>
            <w:r>
              <w:rPr>
                <w:sz w:val="19"/>
              </w:rPr>
              <w:t>10–11</w:t>
            </w:r>
          </w:p>
        </w:tc>
      </w:tr>
      <w:tr>
        <w:tc>
          <w:tcPr>
            <w:tcW w:type="dxa" w:w="562"/>
          </w:tcPr>
          <w:p>
            <w:pPr>
              <w:spacing w:after="40"/>
            </w:pPr>
            <w:r>
              <w:rPr>
                <w:sz w:val="19"/>
              </w:rPr>
              <w:t>11</w:t>
            </w:r>
          </w:p>
        </w:tc>
        <w:tc>
          <w:tcPr>
            <w:tcW w:type="dxa" w:w="6739"/>
          </w:tcPr>
          <w:p>
            <w:pPr>
              <w:spacing w:after="40"/>
            </w:pPr>
            <w:r>
              <w:rPr>
                <w:sz w:val="19"/>
              </w:rPr>
              <w:t>Output UI — comparison cards, coverage viz, per-bullet actions</w:t>
            </w:r>
          </w:p>
        </w:tc>
        <w:tc>
          <w:tcPr>
            <w:tcW w:type="dxa" w:w="2059"/>
          </w:tcPr>
          <w:p>
            <w:pPr>
              <w:spacing w:after="40"/>
            </w:pPr>
            <w:r>
              <w:rPr>
                <w:sz w:val="19"/>
              </w:rPr>
              <w:t>11–13</w:t>
            </w:r>
          </w:p>
        </w:tc>
      </w:tr>
      <w:tr>
        <w:tc>
          <w:tcPr>
            <w:tcW w:type="dxa" w:w="562"/>
            <w:shd w:val="clear" w:fill="F2F6FA"/>
          </w:tcPr>
          <w:p>
            <w:pPr>
              <w:spacing w:after="40"/>
            </w:pPr>
            <w:r>
              <w:rPr>
                <w:sz w:val="19"/>
              </w:rPr>
              <w:t>12</w:t>
            </w:r>
          </w:p>
        </w:tc>
        <w:tc>
          <w:tcPr>
            <w:tcW w:type="dxa" w:w="6739"/>
            <w:shd w:val="clear" w:fill="F2F6FA"/>
          </w:tcPr>
          <w:p>
            <w:pPr>
              <w:spacing w:after="40"/>
            </w:pPr>
            <w:r>
              <w:rPr>
                <w:sz w:val="19"/>
              </w:rPr>
              <w:t>Regenerate-with-prompt</w:t>
            </w:r>
          </w:p>
        </w:tc>
        <w:tc>
          <w:tcPr>
            <w:tcW w:type="dxa" w:w="2059"/>
            <w:shd w:val="clear" w:fill="F2F6FA"/>
          </w:tcPr>
          <w:p>
            <w:pPr>
              <w:spacing w:after="40"/>
            </w:pPr>
            <w:r>
              <w:rPr>
                <w:sz w:val="19"/>
              </w:rPr>
              <w:t>13</w:t>
            </w:r>
          </w:p>
        </w:tc>
      </w:tr>
      <w:tr>
        <w:tc>
          <w:tcPr>
            <w:tcW w:type="dxa" w:w="562"/>
          </w:tcPr>
          <w:p>
            <w:pPr>
              <w:spacing w:after="40"/>
            </w:pPr>
            <w:r>
              <w:rPr>
                <w:sz w:val="19"/>
              </w:rPr>
              <w:t>13</w:t>
            </w:r>
          </w:p>
        </w:tc>
        <w:tc>
          <w:tcPr>
            <w:tcW w:type="dxa" w:w="6739"/>
          </w:tcPr>
          <w:p>
            <w:pPr>
              <w:spacing w:after="40"/>
            </w:pPr>
            <w:r>
              <w:rPr>
                <w:sz w:val="19"/>
              </w:rPr>
              <w:t>Fabrication audit + fixes</w:t>
            </w:r>
          </w:p>
        </w:tc>
        <w:tc>
          <w:tcPr>
            <w:tcW w:type="dxa" w:w="2059"/>
          </w:tcPr>
          <w:p>
            <w:pPr>
              <w:spacing w:after="40"/>
            </w:pPr>
            <w:r>
              <w:rPr>
                <w:sz w:val="19"/>
              </w:rPr>
              <w:t>14</w:t>
            </w:r>
          </w:p>
        </w:tc>
      </w:tr>
      <w:tr>
        <w:tc>
          <w:tcPr>
            <w:tcW w:type="dxa" w:w="562"/>
            <w:shd w:val="clear" w:fill="F2F6FA"/>
          </w:tcPr>
          <w:p>
            <w:pPr>
              <w:spacing w:after="40"/>
            </w:pPr>
            <w:r>
              <w:rPr>
                <w:sz w:val="19"/>
              </w:rPr>
              <w:t>14</w:t>
            </w:r>
          </w:p>
        </w:tc>
        <w:tc>
          <w:tcPr>
            <w:tcW w:type="dxa" w:w="6739"/>
            <w:shd w:val="clear" w:fill="F2F6FA"/>
          </w:tcPr>
          <w:p>
            <w:pPr>
              <w:spacing w:after="40"/>
            </w:pPr>
            <w:r>
              <w:rPr>
                <w:sz w:val="19"/>
              </w:rPr>
              <w:t>Deploy, end-to-end test, polish</w:t>
            </w:r>
          </w:p>
        </w:tc>
        <w:tc>
          <w:tcPr>
            <w:tcW w:type="dxa" w:w="2059"/>
            <w:shd w:val="clear" w:fill="F2F6FA"/>
          </w:tcPr>
          <w:p>
            <w:pPr>
              <w:spacing w:after="40"/>
            </w:pPr>
            <w:r>
              <w:rPr>
                <w:sz w:val="19"/>
              </w:rPr>
              <w:t>14–15</w:t>
            </w:r>
          </w:p>
        </w:tc>
      </w:tr>
    </w:tbl>
    <w:p>
      <w:pPr>
        <w:spacing w:after="80"/>
      </w:pPr>
    </w:p>
    <w:p>
      <w:pPr>
        <w:spacing w:after="120"/>
      </w:pPr>
      <w:r>
        <w:rPr>
          <w:b/>
        </w:rPr>
        <w:t>~15 days</w:t>
      </w:r>
      <w:r>
        <w:t xml:space="preserve"> (10–12 compressed with Claude Code). Phase 8 is deliberately placed before the output UI — calibrating the threshold before building the UI that displays scores avoids rebuilding the display around a number that turns out to be wrong.</w:t>
      </w:r>
    </w:p>
    <w:p>
      <w:pPr>
        <w:pStyle w:val="Heading1"/>
      </w:pPr>
      <w:r>
        <w:t>12. UI</w:t>
      </w:r>
    </w:p>
    <w:p>
      <w:pPr>
        <w:spacing w:after="120"/>
      </w:pPr>
      <w:r>
        <w:rPr>
          <w:b/>
        </w:rPr>
        <w:t>Screen 1 — Input.</w:t>
      </w:r>
      <w:r>
        <w:t xml:space="preserve"> Resume (required), experience doc (optional, with a hint explaining what it is and why it helps), seniority dropdown. CTA: </w:t>
      </w:r>
      <w:r>
        <w:rPr>
          <w:i/>
        </w:rPr>
        <w:t>Optimize My Resume</w:t>
      </w:r>
      <w:r>
        <w:t>.</w:t>
      </w:r>
    </w:p>
    <w:p>
      <w:pPr>
        <w:spacing w:after="120"/>
      </w:pPr>
      <w:r>
        <w:rPr>
          <w:b/>
        </w:rPr>
        <w:t>Screen 2 — Agent working.</w:t>
      </w:r>
      <w:r>
        <w:t xml:space="preserve"> Full-screen styled log, real-time. Step progress ("Step 4 of 7 — Rewriting bullets"). Estimate: ~60s. No intervention possible. The log shows reasoning, not just status:</w:t>
      </w:r>
    </w:p>
    <w:p>
      <w:pPr>
        <w:spacing w:after="0" w:before="0" w:line="240" w:lineRule="auto"/>
        <w:ind w:left="173"/>
        <w:shd w:val="clear" w:fill="F4F4F4"/>
      </w:pPr>
      <w:r>
        <w:rPr>
          <w:rFonts w:ascii="Consolas" w:hAnsi="Consolas"/>
          <w:sz w:val="17"/>
        </w:rPr>
        <w:t>Parsing resume... 14 bullets found across 3 roles.</w:t>
      </w:r>
    </w:p>
    <w:p>
      <w:pPr>
        <w:spacing w:after="0" w:before="0" w:line="240" w:lineRule="auto"/>
        <w:ind w:left="173"/>
        <w:shd w:val="clear" w:fill="F4F4F4"/>
      </w:pPr>
      <w:r>
        <w:rPr>
          <w:rFonts w:ascii="Consolas" w:hAnsi="Consolas"/>
          <w:sz w:val="17"/>
        </w:rPr>
        <w:t>Mapping to PM competency model...</w:t>
      </w:r>
    </w:p>
    <w:p>
      <w:pPr>
        <w:spacing w:after="0" w:before="0" w:line="240" w:lineRule="auto"/>
        <w:ind w:left="173"/>
        <w:shd w:val="clear" w:fill="F4F4F4"/>
      </w:pPr>
      <w:r>
        <w:rPr>
          <w:rFonts w:ascii="Consolas" w:hAnsi="Consolas"/>
          <w:sz w:val="17"/>
        </w:rPr>
        <w:t xml:space="preserve">  Execution &amp; delivery: 6 bullets (strong)</w:t>
      </w:r>
    </w:p>
    <w:p>
      <w:pPr>
        <w:spacing w:after="0" w:before="0" w:line="240" w:lineRule="auto"/>
        <w:ind w:left="173"/>
        <w:shd w:val="clear" w:fill="F4F4F4"/>
      </w:pPr>
      <w:r>
        <w:rPr>
          <w:rFonts w:ascii="Consolas" w:hAnsi="Consolas"/>
          <w:sz w:val="17"/>
        </w:rPr>
        <w:t xml:space="preserve">  Metrics &amp; data: 1 bullet (weak)</w:t>
      </w:r>
    </w:p>
    <w:p>
      <w:pPr>
        <w:spacing w:after="0" w:before="0" w:line="240" w:lineRule="auto"/>
        <w:ind w:left="173"/>
        <w:shd w:val="clear" w:fill="F4F4F4"/>
      </w:pPr>
      <w:r>
        <w:rPr>
          <w:rFonts w:ascii="Consolas" w:hAnsi="Consolas"/>
          <w:sz w:val="17"/>
        </w:rPr>
        <w:t xml:space="preserve">  Discovery &amp; research: 0 bullets   &lt;- gap</w:t>
      </w:r>
    </w:p>
    <w:p>
      <w:pPr>
        <w:spacing w:after="0" w:before="0" w:line="240" w:lineRule="auto"/>
        <w:ind w:left="173"/>
        <w:shd w:val="clear" w:fill="F4F4F4"/>
      </w:pPr>
      <w:r>
        <w:rPr>
          <w:rFonts w:ascii="Consolas" w:hAnsi="Consolas"/>
          <w:sz w:val="17"/>
        </w:rPr>
        <w:t>Rewriting bullet 1 of 6...</w:t>
      </w:r>
    </w:p>
    <w:p>
      <w:pPr>
        <w:spacing w:after="0" w:before="0" w:line="240" w:lineRule="auto"/>
        <w:ind w:left="173"/>
        <w:shd w:val="clear" w:fill="F4F4F4"/>
      </w:pPr>
      <w:r>
        <w:rPr>
          <w:rFonts w:ascii="Consolas" w:hAnsi="Consolas"/>
          <w:sz w:val="17"/>
        </w:rPr>
        <w:t xml:space="preserve">  Scored 82% - accepted.</w:t>
      </w:r>
    </w:p>
    <w:p>
      <w:pPr>
        <w:spacing w:after="0" w:before="0" w:line="240" w:lineRule="auto"/>
        <w:ind w:left="173"/>
        <w:shd w:val="clear" w:fill="F4F4F4"/>
      </w:pPr>
      <w:r>
        <w:rPr>
          <w:rFonts w:ascii="Consolas" w:hAnsi="Consolas"/>
          <w:sz w:val="17"/>
        </w:rPr>
        <w:t>Rewriting bullet 2 of 6...</w:t>
      </w:r>
    </w:p>
    <w:p>
      <w:pPr>
        <w:spacing w:after="0" w:before="0" w:line="240" w:lineRule="auto"/>
        <w:ind w:left="173"/>
        <w:shd w:val="clear" w:fill="F4F4F4"/>
      </w:pPr>
      <w:r>
        <w:rPr>
          <w:rFonts w:ascii="Consolas" w:hAnsi="Consolas"/>
          <w:sz w:val="17"/>
        </w:rPr>
        <w:t xml:space="preserve">  Scored 54% - reason: WEAK_PHRASING. Retrying with a different angle...</w:t>
      </w:r>
    </w:p>
    <w:p>
      <w:pPr>
        <w:spacing w:after="0" w:before="0" w:line="240" w:lineRule="auto"/>
        <w:ind w:left="173"/>
        <w:shd w:val="clear" w:fill="F4F4F4"/>
      </w:pPr>
      <w:r>
        <w:rPr>
          <w:rFonts w:ascii="Consolas" w:hAnsi="Consolas"/>
          <w:sz w:val="17"/>
        </w:rPr>
        <w:t xml:space="preserve">  Retry scored 76% - accepted.</w:t>
      </w:r>
    </w:p>
    <w:p>
      <w:pPr>
        <w:spacing w:after="0" w:before="0" w:line="240" w:lineRule="auto"/>
        <w:ind w:left="173"/>
        <w:shd w:val="clear" w:fill="F4F4F4"/>
      </w:pPr>
      <w:r>
        <w:rPr>
          <w:rFonts w:ascii="Consolas" w:hAnsi="Consolas"/>
          <w:sz w:val="17"/>
        </w:rPr>
        <w:t>Rewriting bullet 3 of 6...</w:t>
      </w:r>
    </w:p>
    <w:p>
      <w:pPr>
        <w:spacing w:after="0" w:before="0" w:line="240" w:lineRule="auto"/>
        <w:ind w:left="173"/>
        <w:shd w:val="clear" w:fill="F4F4F4"/>
      </w:pPr>
      <w:r>
        <w:rPr>
          <w:rFonts w:ascii="Consolas" w:hAnsi="Consolas"/>
          <w:sz w:val="17"/>
        </w:rPr>
        <w:t xml:space="preserve">  Scored 61% - reason: NO_QUANTIFIABLE_DATA. Skipping retries, queued.</w:t>
      </w:r>
    </w:p>
    <w:p>
      <w:pPr>
        <w:spacing w:after="160" w:before="0" w:line="240" w:lineRule="auto"/>
        <w:ind w:left="173"/>
        <w:shd w:val="clear" w:fill="F4F4F4"/>
      </w:pPr>
      <w:r>
        <w:rPr>
          <w:rFonts w:ascii="Consolas" w:hAnsi="Consolas"/>
          <w:sz w:val="17"/>
        </w:rPr>
        <w:t>Complete. Coverage 3/7 -&gt; 5/7. 4 optimized, 8 kept, 1 flagged, 2 questions.</w:t>
      </w:r>
    </w:p>
    <w:p>
      <w:pPr>
        <w:spacing w:after="120"/>
      </w:pPr>
      <w:r>
        <w:rPr>
          <w:b/>
        </w:rPr>
        <w:t>Screen 3 — Output.</w:t>
      </w:r>
      <w:r>
        <w:t xml:space="preserve"> Coverage before/after (visual, per-competency). Bullet cards: original (grey) vs optimized (highlighted), score breakdown, competency tag, why-note, actions. Flagged section. Gap summary. Clarification prompt if questions are queued. Export.</w:t>
      </w:r>
    </w:p>
    <w:p>
      <w:pPr>
        <w:pStyle w:val="Heading1"/>
      </w:pPr>
      <w:r>
        <w:t>13. Risks &amp; open questions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trPr>
        <w:tc>
          <w:tcPr>
            <w:tcW w:type="dxa" w:w="2621"/>
            <w:shd w:val="clear" w:fill="1F4E79"/>
          </w:tcPr>
          <w:p>
            <w:pPr>
              <w:spacing w:after="40"/>
            </w:pPr>
            <w:r>
              <w:rPr>
                <w:b/>
                <w:color w:val="FFFFFF"/>
                <w:sz w:val="19"/>
              </w:rPr>
              <w:t>Risk</w:t>
            </w:r>
          </w:p>
        </w:tc>
        <w:tc>
          <w:tcPr>
            <w:tcW w:type="dxa" w:w="2059"/>
            <w:shd w:val="clear" w:fill="1F4E79"/>
          </w:tcPr>
          <w:p>
            <w:pPr>
              <w:spacing w:after="40"/>
            </w:pPr>
            <w:r>
              <w:rPr>
                <w:b/>
                <w:color w:val="FFFFFF"/>
                <w:sz w:val="19"/>
              </w:rPr>
              <w:t>Impact</w:t>
            </w:r>
          </w:p>
        </w:tc>
        <w:tc>
          <w:tcPr>
            <w:tcW w:type="dxa" w:w="4680"/>
            <w:shd w:val="clear" w:fill="1F4E79"/>
          </w:tcPr>
          <w:p>
            <w:pPr>
              <w:spacing w:after="40"/>
            </w:pPr>
            <w:r>
              <w:rPr>
                <w:b/>
                <w:color w:val="FFFFFF"/>
                <w:sz w:val="19"/>
              </w:rPr>
              <w:t>Mitigation</w:t>
            </w:r>
          </w:p>
        </w:tc>
      </w:tr>
      <w:tr>
        <w:tc>
          <w:tcPr>
            <w:tcW w:type="dxa" w:w="2621"/>
          </w:tcPr>
          <w:p>
            <w:pPr>
              <w:spacing w:after="40"/>
            </w:pPr>
            <w:r>
              <w:rPr>
                <w:sz w:val="19"/>
              </w:rPr>
              <w:t>Self-scorer agrees with itself, not with humans</w:t>
            </w:r>
          </w:p>
        </w:tc>
        <w:tc>
          <w:tcPr>
            <w:tcW w:type="dxa" w:w="2059"/>
          </w:tcPr>
          <w:p>
            <w:pPr>
              <w:spacing w:after="40"/>
            </w:pPr>
            <w:r>
              <w:rPr>
                <w:sz w:val="19"/>
              </w:rPr>
              <w:t>Core architecture claim is unsupported</w:t>
            </w:r>
          </w:p>
        </w:tc>
        <w:tc>
          <w:tcPr>
            <w:tcW w:type="dxa" w:w="4680"/>
          </w:tcPr>
          <w:p>
            <w:pPr>
              <w:spacing w:after="40"/>
            </w:pPr>
            <w:r>
              <w:rPr>
                <w:sz w:val="19"/>
              </w:rPr>
              <w:t>Golden set (§8) — exactly what it tests. If agreement is &lt;80%, make more of the rubric deterministic before shipping.</w:t>
            </w:r>
          </w:p>
        </w:tc>
      </w:tr>
      <w:tr>
        <w:tc>
          <w:tcPr>
            <w:tcW w:type="dxa" w:w="2621"/>
            <w:shd w:val="clear" w:fill="F2F6FA"/>
          </w:tcPr>
          <w:p>
            <w:pPr>
              <w:spacing w:after="40"/>
            </w:pPr>
            <w:r>
              <w:rPr>
                <w:sz w:val="19"/>
              </w:rPr>
              <w:t>Rewriter fabricates under pressure</w:t>
            </w:r>
          </w:p>
        </w:tc>
        <w:tc>
          <w:tcPr>
            <w:tcW w:type="dxa" w:w="2059"/>
            <w:shd w:val="clear" w:fill="F2F6FA"/>
          </w:tcPr>
          <w:p>
            <w:pPr>
              <w:spacing w:after="40"/>
            </w:pPr>
            <w:r>
              <w:rPr>
                <w:sz w:val="19"/>
              </w:rPr>
              <w:t>Credibility-destroying</w:t>
            </w:r>
          </w:p>
        </w:tc>
        <w:tc>
          <w:tcPr>
            <w:tcW w:type="dxa" w:w="4680"/>
            <w:shd w:val="clear" w:fill="F2F6FA"/>
          </w:tcPr>
          <w:p>
            <w:pPr>
              <w:spacing w:after="40"/>
            </w:pPr>
            <w:r>
              <w:rPr>
                <w:rFonts w:ascii="Consolas" w:hAnsi="Consolas"/>
                <w:color w:val="A31515"/>
                <w:sz w:val="16"/>
              </w:rPr>
              <w:t>WOULD_REQUIRE_FABRICATION</w:t>
            </w:r>
            <w:r>
              <w:rPr>
                <w:sz w:val="19"/>
              </w:rPr>
              <w:t xml:space="preserve"> routing + 50-bullet audit + zero tolerance</w:t>
            </w:r>
          </w:p>
        </w:tc>
      </w:tr>
      <w:tr>
        <w:tc>
          <w:tcPr>
            <w:tcW w:type="dxa" w:w="2621"/>
          </w:tcPr>
          <w:p>
            <w:pPr>
              <w:spacing w:after="40"/>
            </w:pPr>
            <w:r>
              <w:rPr>
                <w:sz w:val="19"/>
              </w:rPr>
              <w:t>Client-held state lost on refresh</w:t>
            </w:r>
          </w:p>
        </w:tc>
        <w:tc>
          <w:tcPr>
            <w:tcW w:type="dxa" w:w="2059"/>
          </w:tcPr>
          <w:p>
            <w:pPr>
              <w:spacing w:after="40"/>
            </w:pPr>
            <w:r>
              <w:rPr>
                <w:sz w:val="19"/>
              </w:rPr>
              <w:t>User re-runs</w:t>
            </w:r>
          </w:p>
        </w:tc>
        <w:tc>
          <w:tcPr>
            <w:tcW w:type="dxa" w:w="4680"/>
          </w:tcPr>
          <w:p>
            <w:pPr>
              <w:spacing w:after="40"/>
            </w:pPr>
            <w:r>
              <w:rPr>
                <w:rFonts w:ascii="Consolas" w:hAnsi="Consolas"/>
                <w:color w:val="A31515"/>
                <w:sz w:val="16"/>
              </w:rPr>
              <w:t>beforeunload</w:t>
            </w:r>
            <w:r>
              <w:rPr>
                <w:sz w:val="19"/>
              </w:rPr>
              <w:t xml:space="preserve"> warning; accepted for v1</w:t>
            </w:r>
          </w:p>
        </w:tc>
      </w:tr>
      <w:tr>
        <w:tc>
          <w:tcPr>
            <w:tcW w:type="dxa" w:w="2621"/>
            <w:shd w:val="clear" w:fill="F2F6FA"/>
          </w:tcPr>
          <w:p>
            <w:pPr>
              <w:spacing w:after="40"/>
            </w:pPr>
            <w:r>
              <w:rPr>
                <w:sz w:val="19"/>
              </w:rPr>
              <w:t>PDF parsing fails on image-only or unusual resumes</w:t>
            </w:r>
          </w:p>
        </w:tc>
        <w:tc>
          <w:tcPr>
            <w:tcW w:type="dxa" w:w="2059"/>
            <w:shd w:val="clear" w:fill="F2F6FA"/>
          </w:tcPr>
          <w:p>
            <w:pPr>
              <w:spacing w:after="40"/>
            </w:pPr>
            <w:r>
              <w:rPr>
                <w:sz w:val="19"/>
              </w:rPr>
              <w:t>Hard stop for that user</w:t>
            </w:r>
          </w:p>
        </w:tc>
        <w:tc>
          <w:tcPr>
            <w:tcW w:type="dxa" w:w="4680"/>
            <w:shd w:val="clear" w:fill="F2F6FA"/>
          </w:tcPr>
          <w:p>
            <w:pPr>
              <w:spacing w:after="40"/>
            </w:pPr>
            <w:r>
              <w:rPr>
                <w:sz w:val="19"/>
              </w:rPr>
              <w:t>Detect empty extraction, show a clear "paste instead" fallback</w:t>
            </w:r>
          </w:p>
        </w:tc>
      </w:tr>
      <w:tr>
        <w:tc>
          <w:tcPr>
            <w:tcW w:type="dxa" w:w="2621"/>
          </w:tcPr>
          <w:p>
            <w:pPr>
              <w:spacing w:after="40"/>
            </w:pPr>
            <w:r>
              <w:rPr>
                <w:sz w:val="19"/>
              </w:rPr>
              <w:t>Competency model is wrong or contested</w:t>
            </w:r>
          </w:p>
        </w:tc>
        <w:tc>
          <w:tcPr>
            <w:tcW w:type="dxa" w:w="2059"/>
          </w:tcPr>
          <w:p>
            <w:pPr>
              <w:spacing w:after="40"/>
            </w:pPr>
            <w:r>
              <w:rPr>
                <w:sz w:val="19"/>
              </w:rPr>
              <w:t>All of v1 scoring rests on it</w:t>
            </w:r>
          </w:p>
        </w:tc>
        <w:tc>
          <w:tcPr>
            <w:tcW w:type="dxa" w:w="4680"/>
          </w:tcPr>
          <w:p>
            <w:pPr>
              <w:spacing w:after="40"/>
            </w:pPr>
            <w:r>
              <w:rPr>
                <w:sz w:val="19"/>
              </w:rPr>
              <w:t>Validate against 5–10 real PM job descriptions before building; it’s a config file, cheap to revise</w:t>
            </w:r>
          </w:p>
        </w:tc>
      </w:tr>
      <w:tr>
        <w:tc>
          <w:tcPr>
            <w:tcW w:type="dxa" w:w="2621"/>
            <w:shd w:val="clear" w:fill="F2F6FA"/>
          </w:tcPr>
          <w:p>
            <w:pPr>
              <w:spacing w:after="40"/>
            </w:pPr>
            <w:r>
              <w:rPr>
                <w:sz w:val="19"/>
              </w:rPr>
              <w:t>Per-run cost higher than expected</w:t>
            </w:r>
          </w:p>
        </w:tc>
        <w:tc>
          <w:tcPr>
            <w:tcW w:type="dxa" w:w="2059"/>
            <w:shd w:val="clear" w:fill="F2F6FA"/>
          </w:tcPr>
          <w:p>
            <w:pPr>
              <w:spacing w:after="40"/>
            </w:pPr>
            <w:r>
              <w:rPr>
                <w:sz w:val="19"/>
              </w:rPr>
              <w:t>Not viable to share publicly</w:t>
            </w:r>
          </w:p>
        </w:tc>
        <w:tc>
          <w:tcPr>
            <w:tcW w:type="dxa" w:w="4680"/>
            <w:shd w:val="clear" w:fill="F2F6FA"/>
          </w:tcPr>
          <w:p>
            <w:pPr>
              <w:spacing w:after="40"/>
            </w:pPr>
            <w:r>
              <w:rPr>
                <w:sz w:val="19"/>
              </w:rPr>
              <w:t>Instrument token usage per run in phase 7; prompt caching; per-tool model config is already a lever</w:t>
            </w:r>
          </w:p>
        </w:tc>
      </w:tr>
      <w:tr>
        <w:tc>
          <w:tcPr>
            <w:tcW w:type="dxa" w:w="2621"/>
          </w:tcPr>
          <w:p>
            <w:pPr>
              <w:spacing w:after="40"/>
            </w:pPr>
            <w:r>
              <w:rPr>
                <w:sz w:val="19"/>
              </w:rPr>
              <w:t>30-bullet golden set too small for confident claims</w:t>
            </w:r>
          </w:p>
        </w:tc>
        <w:tc>
          <w:tcPr>
            <w:tcW w:type="dxa" w:w="2059"/>
          </w:tcPr>
          <w:p>
            <w:pPr>
              <w:spacing w:after="40"/>
            </w:pPr>
            <w:r>
              <w:rPr>
                <w:sz w:val="19"/>
              </w:rPr>
              <w:t>Overstated eval results</w:t>
            </w:r>
          </w:p>
        </w:tc>
        <w:tc>
          <w:tcPr>
            <w:tcW w:type="dxa" w:w="4680"/>
          </w:tcPr>
          <w:p>
            <w:pPr>
              <w:spacing w:after="40"/>
            </w:pPr>
            <w:r>
              <w:rPr>
                <w:sz w:val="19"/>
              </w:rPr>
              <w:t>Present as "n=30" explicitly; never round a 26/30 into a clean percentage claim</w:t>
            </w:r>
          </w:p>
        </w:tc>
      </w:tr>
    </w:tbl>
    <w:p>
      <w:pPr>
        <w:spacing w:after="80"/>
      </w:pPr>
    </w:p>
    <w:p>
      <w:pPr>
        <w:spacing w:after="120"/>
      </w:pPr>
      <w:r>
        <w:rPr>
          <w:b/>
        </w:rPr>
        <w:t>Open questions</w:t>
      </w:r>
    </w:p>
    <w:p>
      <w:pPr>
        <w:pStyle w:val="ListNumber"/>
        <w:spacing w:after="60"/>
      </w:pPr>
      <w:r>
        <w:t>Does the competency model need seniority-specific weighting, or is a flat 7-way coverage measure sufficient for v1?</w:t>
      </w:r>
    </w:p>
    <w:p>
      <w:pPr>
        <w:pStyle w:val="ListNumber"/>
        <w:spacing w:after="60"/>
      </w:pPr>
      <w:r>
        <w:t>Should flagged (</w:t>
      </w:r>
      <w:r>
        <w:rPr>
          <w:rFonts w:ascii="Consolas" w:hAnsi="Consolas"/>
          <w:color w:val="A31515"/>
          <w:sz w:val="18"/>
        </w:rPr>
        <w:t>WOULD_REQUIRE_FABRICATION</w:t>
      </w:r>
      <w:r>
        <w:t>) bullets show the agent’s reasoning, or just the flag?</w:t>
      </w:r>
    </w:p>
    <w:p>
      <w:pPr>
        <w:pStyle w:val="ListNumber"/>
        <w:spacing w:after="60"/>
      </w:pPr>
      <w:r>
        <w:t>Is 150 characters the right cap? It came from LaTeX single-line rendering — worth verifying against real PM resume templates.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Bullet Optimizer Agent — PRD v1</dc:title>
  <dc:subject/>
  <dc:creator>Raju</dc:creator>
  <cp:keywords/>
  <dc:description>generated by python-docx</dc:description>
  <cp:lastModifiedBy/>
  <cp:revision>1</cp:revision>
  <dcterms:created xsi:type="dcterms:W3CDTF">2013-12-23T23:15:00Z</dcterms:created>
  <dcterms:modified xsi:type="dcterms:W3CDTF">2013-12-23T23:15:00Z</dcterms:modified>
  <cp:category/>
</cp:coreProperties>
</file>