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2E75B6"/>
          <w:sz w:val="44"/>
          <w:szCs w:val="44"/>
        </w:rPr>
        <w:t xml:space="preserve">Sales Prediction for Big Mart Outlets</w:t>
      </w:r>
    </w:p>
    <w:p>
      <w:pPr>
        <w:spacing w:after="80"/>
        <w:jc w:val="center"/>
      </w:pPr>
      <w:r>
        <w:rPr>
          <w:rFonts w:ascii="Arial" w:cs="Arial" w:eastAsia="Arial" w:hAnsi="Arial"/>
          <w:color w:val="404040"/>
          <w:sz w:val="30"/>
          <w:szCs w:val="30"/>
        </w:rPr>
        <w:t xml:space="preserve">Project Milestone 2</w:t>
      </w:r>
    </w:p>
    <w:p>
      <w:pPr>
        <w:spacing w:after="80"/>
      </w:pPr>
      <w:r>
        <w:t xml:space="preserve"/>
      </w:r>
    </w:p>
    <w:p>
      <w:pPr>
        <w:spacing w:after="60"/>
        <w:jc w:val="center"/>
      </w:pPr>
      <w:r>
        <w:rPr>
          <w:rFonts w:ascii="Arial" w:cs="Arial" w:eastAsia="Arial" w:hAnsi="Arial"/>
          <w:sz w:val="24"/>
          <w:szCs w:val="24"/>
        </w:rPr>
        <w:t xml:space="preserve">Gyan Kannur</w:t>
      </w:r>
    </w:p>
    <w:p>
      <w:pPr>
        <w:spacing w:after="60"/>
        <w:jc w:val="center"/>
      </w:pPr>
      <w:r>
        <w:rPr>
          <w:rFonts w:ascii="Arial" w:cs="Arial" w:eastAsia="Arial" w:hAnsi="Arial"/>
          <w:sz w:val="24"/>
          <w:szCs w:val="24"/>
        </w:rPr>
        <w:t xml:space="preserve">Bellevue University</w:t>
      </w:r>
    </w:p>
    <w:p>
      <w:pPr>
        <w:spacing w:after="60"/>
        <w:jc w:val="center"/>
      </w:pPr>
      <w:r>
        <w:rPr>
          <w:rFonts w:ascii="Arial" w:cs="Arial" w:eastAsia="Arial" w:hAnsi="Arial"/>
          <w:sz w:val="24"/>
          <w:szCs w:val="24"/>
        </w:rPr>
        <w:t xml:space="preserve">DSC 680</w:t>
      </w:r>
    </w:p>
    <w:p>
      <w:pPr>
        <w:spacing w:after="60"/>
        <w:jc w:val="center"/>
      </w:pPr>
      <w:r>
        <w:rPr>
          <w:rFonts w:ascii="Arial" w:cs="Arial" w:eastAsia="Arial" w:hAnsi="Arial"/>
          <w:sz w:val="24"/>
          <w:szCs w:val="24"/>
        </w:rPr>
        <w:t xml:space="preserve">June 2026</w:t>
      </w:r>
    </w:p>
    <w:p>
      <w:pPr>
        <w:spacing w:after="80"/>
      </w:pPr>
      <w:r>
        <w:t xml:space="preserve"/>
      </w:r>
    </w:p>
    <w:p>
      <w:pPr>
        <w:pStyle w:val="Heading1"/>
      </w:pPr>
      <w:r>
        <w:rPr>
          <w:rFonts w:ascii="Arial" w:cs="Arial" w:eastAsia="Arial" w:hAnsi="Arial"/>
          <w:b/>
          <w:bCs/>
        </w:rPr>
        <w:t xml:space="preserve">Abstract</w:t>
      </w:r>
    </w:p>
    <w:p>
      <w:pPr>
        <w:spacing w:after="120"/>
        <w:jc w:val="left"/>
      </w:pPr>
      <w:r>
        <w:rPr>
          <w:rFonts w:ascii="Arial" w:cs="Arial" w:eastAsia="Arial" w:hAnsi="Arial"/>
          <w:b w:val="false"/>
          <w:bCs w:val="false"/>
          <w:color w:val="000000"/>
          <w:sz w:val="24"/>
          <w:szCs w:val="24"/>
        </w:rPr>
        <w:t xml:space="preserve">This milestone documents the full modeling pipeline for predicting Item_Outlet_Sales across BigMart retail outlets using 2013 product and store attributes. An eight-model comparison was conducted using 5-fold cross-validation with mean and standard deviation RMSE, replacing single-split evaluation. A Bagging ensemble of tuned Gradient Boosting Regressors was selected as the final model (CV RMSE 0.523 ± 0.016, holdout RMSE 0.519, R² 0.738 on the log scale). Key structural improvements over Milestone 1 include a corrected preprocessing pipeline order (split-first), train-only imputation and scaling, principled feature selection via a four-step pipeline, log-transformation of the target variable, Duan’s nonparametric smearing correction for retransformation bias, and a complementary anomaly detection module using PyOD that classifies outlet-level outliers into interpretable business categories.</w:t>
      </w:r>
    </w:p>
    <w:p>
      <w:pPr>
        <w:spacing w:after="80"/>
      </w:pPr>
      <w:r>
        <w:t xml:space="preserve"/>
      </w:r>
    </w:p>
    <w:p>
      <w:pPr>
        <w:pStyle w:val="Heading1"/>
      </w:pPr>
      <w:r>
        <w:rPr>
          <w:rFonts w:ascii="Arial" w:cs="Arial" w:eastAsia="Arial" w:hAnsi="Arial"/>
          <w:b/>
          <w:bCs/>
        </w:rPr>
        <w:t xml:space="preserve">Business Problem</w:t>
      </w:r>
    </w:p>
    <w:p>
      <w:pPr>
        <w:spacing w:after="120"/>
        <w:jc w:val="left"/>
      </w:pPr>
      <w:r>
        <w:rPr>
          <w:rFonts w:ascii="Arial" w:cs="Arial" w:eastAsia="Arial" w:hAnsi="Arial"/>
          <w:b w:val="false"/>
          <w:bCs w:val="false"/>
          <w:color w:val="000000"/>
          <w:sz w:val="24"/>
          <w:szCs w:val="24"/>
        </w:rPr>
        <w:t xml:space="preserve">The objective of this project is to forecast Item_Outlet_Sales for individual products across retail outlets using historical 2013 sales data and product and store attributes. Accurate predictions enable BigMart to:</w:t>
      </w:r>
    </w:p>
    <w:p>
      <w:pPr>
        <w:pStyle w:val="ListParagraph"/>
        <w:numPr>
          <w:ilvl w:val="0"/>
          <w:numId w:val="2"/>
        </w:numPr>
        <w:spacing w:after="80"/>
      </w:pPr>
      <w:r>
        <w:rPr>
          <w:rFonts w:ascii="Arial" w:cs="Arial" w:eastAsia="Arial" w:hAnsi="Arial"/>
          <w:sz w:val="24"/>
          <w:szCs w:val="24"/>
        </w:rPr>
        <w:t xml:space="preserve">Identify which product and outlet attributes drive revenue</w:t>
      </w:r>
    </w:p>
    <w:p>
      <w:pPr>
        <w:pStyle w:val="ListParagraph"/>
        <w:numPr>
          <w:ilvl w:val="0"/>
          <w:numId w:val="2"/>
        </w:numPr>
        <w:spacing w:after="80"/>
      </w:pPr>
      <w:r>
        <w:rPr>
          <w:rFonts w:ascii="Arial" w:cs="Arial" w:eastAsia="Arial" w:hAnsi="Arial"/>
          <w:sz w:val="24"/>
          <w:szCs w:val="24"/>
        </w:rPr>
        <w:t xml:space="preserve">Inform merchandising, inventory stocking, and store strategy decisions</w:t>
      </w:r>
    </w:p>
    <w:p>
      <w:pPr>
        <w:pStyle w:val="ListParagraph"/>
        <w:numPr>
          <w:ilvl w:val="0"/>
          <w:numId w:val="2"/>
        </w:numPr>
        <w:spacing w:after="80"/>
      </w:pPr>
      <w:r>
        <w:rPr>
          <w:rFonts w:ascii="Arial" w:cs="Arial" w:eastAsia="Arial" w:hAnsi="Arial"/>
          <w:sz w:val="24"/>
          <w:szCs w:val="24"/>
        </w:rPr>
        <w:t xml:space="preserve">Prioritize high-impact products and outlet types for promotional investment</w:t>
      </w:r>
    </w:p>
    <w:p>
      <w:pPr>
        <w:pStyle w:val="ListParagraph"/>
        <w:numPr>
          <w:ilvl w:val="0"/>
          <w:numId w:val="2"/>
        </w:numPr>
        <w:spacing w:after="80"/>
      </w:pPr>
      <w:r>
        <w:rPr>
          <w:rFonts w:ascii="Arial" w:cs="Arial" w:eastAsia="Arial" w:hAnsi="Arial"/>
          <w:sz w:val="24"/>
          <w:szCs w:val="24"/>
        </w:rPr>
        <w:t xml:space="preserve">Detect underperforming product-outlet combinations for operational review</w:t>
      </w:r>
    </w:p>
    <w:p>
      <w:pPr>
        <w:pStyle w:val="ListParagraph"/>
        <w:numPr>
          <w:ilvl w:val="0"/>
          <w:numId w:val="2"/>
        </w:numPr>
        <w:spacing w:after="80"/>
      </w:pPr>
      <w:r>
        <w:rPr>
          <w:rFonts w:ascii="Arial" w:cs="Arial" w:eastAsia="Arial" w:hAnsi="Arial"/>
          <w:sz w:val="24"/>
          <w:szCs w:val="24"/>
        </w:rPr>
        <w:t xml:space="preserve">Flag anomalous outlets or product-outlet pairs that deviate from expected behavior and may require targeted investigation</w:t>
      </w:r>
    </w:p>
    <w:p>
      <w:pPr>
        <w:spacing w:after="80"/>
      </w:pPr>
      <w:r>
        <w:t xml:space="preserve"/>
      </w:r>
    </w:p>
    <w:p>
      <w:pPr>
        <w:spacing w:after="120"/>
        <w:jc w:val="left"/>
      </w:pPr>
      <w:r>
        <w:rPr>
          <w:rFonts w:ascii="Arial" w:cs="Arial" w:eastAsia="Arial" w:hAnsi="Arial"/>
          <w:b w:val="false"/>
          <w:bCs w:val="false"/>
          <w:color w:val="000000"/>
          <w:sz w:val="24"/>
          <w:szCs w:val="24"/>
        </w:rPr>
        <w:t xml:space="preserve">The core modeling objective is to minimize prediction error (RMSE) on held-out sales data while producing well-calibrated, positive-valued predictions across the full sales distribution. A secondary objective, addressed by the PyOD anomaly detection module, is to identify structural outliers that traditional regression cannot explain.</w:t>
      </w:r>
    </w:p>
    <w:p>
      <w:pPr>
        <w:spacing w:after="80"/>
      </w:pPr>
      <w:r>
        <w:t xml:space="preserve"/>
      </w:r>
    </w:p>
    <w:p>
      <w:pPr>
        <w:pStyle w:val="Heading1"/>
      </w:pPr>
      <w:r>
        <w:rPr>
          <w:rFonts w:ascii="Arial" w:cs="Arial" w:eastAsia="Arial" w:hAnsi="Arial"/>
          <w:b/>
          <w:bCs/>
        </w:rPr>
        <w:t xml:space="preserve">Background / History</w:t>
      </w:r>
    </w:p>
    <w:p>
      <w:pPr>
        <w:spacing w:after="120"/>
        <w:jc w:val="left"/>
      </w:pPr>
      <w:r>
        <w:rPr>
          <w:rFonts w:ascii="Arial" w:cs="Arial" w:eastAsia="Arial" w:hAnsi="Arial"/>
          <w:b w:val="false"/>
          <w:bCs w:val="false"/>
          <w:color w:val="000000"/>
          <w:sz w:val="24"/>
          <w:szCs w:val="24"/>
        </w:rPr>
        <w:t xml:space="preserve">BigMart collected 2013 sales data for 1,559 products across 10 outlets in various cities. Outlet attributes (type, size, location tier, establishment year) and product attributes (MRP, weight, visibility, item type, fat content) are available as predictors. The dataset is a standard benchmark for retail sales regression, with publicly known challenges including right-skewed target distribution, missing values in Item_Weight and Outlet_Size, and zero-valued Item_Visibility entries that are physically implausible.</w:t>
      </w:r>
    </w:p>
    <w:p>
      <w:pPr>
        <w:spacing w:after="80"/>
      </w:pPr>
      <w:r>
        <w:t xml:space="preserve"/>
      </w:r>
    </w:p>
    <w:p>
      <w:pPr>
        <w:spacing w:after="120"/>
        <w:jc w:val="left"/>
      </w:pPr>
      <w:r>
        <w:rPr>
          <w:rFonts w:ascii="Arial" w:cs="Arial" w:eastAsia="Arial" w:hAnsi="Arial"/>
          <w:b w:val="false"/>
          <w:bCs w:val="false"/>
          <w:color w:val="000000"/>
          <w:sz w:val="24"/>
          <w:szCs w:val="24"/>
        </w:rPr>
        <w:t xml:space="preserve">Milestone 1 established the initial preprocessing and modeling pipeline. Milestone 2 corrects four structural issues identified during post-hoc review: preprocessing before the train-test split (leakage), a feature selection procedure that used f_regression on nominal variables (invalid test), best hyperparameters from GridSearchCV that were printed but not used in the final model, and single-split evaluation for all models except Linear Regression. An anomaly detection analysis using PyOD was added as a complementary analytical layer to characterize structural outliers in the dataset.</w:t>
      </w:r>
    </w:p>
    <w:p>
      <w:pPr>
        <w:spacing w:after="80"/>
      </w:pPr>
      <w:r>
        <w:t xml:space="preserve"/>
      </w:r>
    </w:p>
    <w:p>
      <w:pPr>
        <w:pStyle w:val="Heading1"/>
      </w:pPr>
      <w:r>
        <w:rPr>
          <w:rFonts w:ascii="Arial" w:cs="Arial" w:eastAsia="Arial" w:hAnsi="Arial"/>
          <w:b/>
          <w:bCs/>
        </w:rPr>
        <w:t xml:space="preserve">Dataset and Data Preparation</w:t>
      </w:r>
    </w:p>
    <w:p>
      <w:pPr>
        <w:pStyle w:val="Heading2"/>
      </w:pPr>
      <w:r>
        <w:rPr>
          <w:rFonts w:ascii="Arial" w:cs="Arial" w:eastAsia="Arial" w:hAnsi="Arial"/>
          <w:b/>
          <w:bCs/>
        </w:rPr>
        <w:t xml:space="preserve">Dataset</w:t>
      </w:r>
    </w:p>
    <w:p>
      <w:pPr>
        <w:pStyle w:val="ListParagraph"/>
        <w:numPr>
          <w:ilvl w:val="0"/>
          <w:numId w:val="2"/>
        </w:numPr>
        <w:spacing w:after="80"/>
      </w:pPr>
      <w:r>
        <w:rPr>
          <w:rFonts w:ascii="Arial" w:cs="Arial" w:eastAsia="Arial" w:hAnsi="Arial"/>
          <w:b/>
          <w:bCs/>
          <w:sz w:val="24"/>
          <w:szCs w:val="24"/>
        </w:rPr>
        <w:t xml:space="preserve">Training records: </w:t>
      </w:r>
      <w:r>
        <w:rPr>
          <w:rFonts w:ascii="Arial" w:cs="Arial" w:eastAsia="Arial" w:hAnsi="Arial"/>
          <w:sz w:val="24"/>
          <w:szCs w:val="24"/>
        </w:rPr>
        <w:t xml:space="preserve">8,523</w:t>
      </w:r>
    </w:p>
    <w:p>
      <w:pPr>
        <w:pStyle w:val="ListParagraph"/>
        <w:numPr>
          <w:ilvl w:val="0"/>
          <w:numId w:val="2"/>
        </w:numPr>
        <w:spacing w:after="80"/>
      </w:pPr>
      <w:r>
        <w:rPr>
          <w:rFonts w:ascii="Arial" w:cs="Arial" w:eastAsia="Arial" w:hAnsi="Arial"/>
          <w:b/>
          <w:bCs/>
          <w:sz w:val="24"/>
          <w:szCs w:val="24"/>
        </w:rPr>
        <w:t xml:space="preserve">Test records (unlabeled, Kaggle submission): </w:t>
      </w:r>
      <w:r>
        <w:rPr>
          <w:rFonts w:ascii="Arial" w:cs="Arial" w:eastAsia="Arial" w:hAnsi="Arial"/>
          <w:sz w:val="24"/>
          <w:szCs w:val="24"/>
        </w:rPr>
        <w:t xml:space="preserve">5,681</w:t>
      </w:r>
    </w:p>
    <w:p>
      <w:pPr>
        <w:pStyle w:val="ListParagraph"/>
        <w:numPr>
          <w:ilvl w:val="0"/>
          <w:numId w:val="2"/>
        </w:numPr>
        <w:spacing w:after="80"/>
      </w:pPr>
      <w:r>
        <w:rPr>
          <w:rFonts w:ascii="Arial" w:cs="Arial" w:eastAsia="Arial" w:hAnsi="Arial"/>
          <w:b/>
          <w:bCs/>
          <w:sz w:val="24"/>
          <w:szCs w:val="24"/>
        </w:rPr>
        <w:t xml:space="preserve">Products: </w:t>
      </w:r>
      <w:r>
        <w:rPr>
          <w:rFonts w:ascii="Arial" w:cs="Arial" w:eastAsia="Arial" w:hAnsi="Arial"/>
          <w:sz w:val="24"/>
          <w:szCs w:val="24"/>
        </w:rPr>
        <w:t xml:space="preserve">~1,559 unique items across 10 outlets</w:t>
      </w:r>
    </w:p>
    <w:p>
      <w:pPr>
        <w:pStyle w:val="ListParagraph"/>
        <w:numPr>
          <w:ilvl w:val="0"/>
          <w:numId w:val="2"/>
        </w:numPr>
        <w:spacing w:after="80"/>
      </w:pPr>
      <w:r>
        <w:rPr>
          <w:rFonts w:ascii="Arial" w:cs="Arial" w:eastAsia="Arial" w:hAnsi="Arial"/>
          <w:b/>
          <w:bCs/>
          <w:sz w:val="24"/>
          <w:szCs w:val="24"/>
        </w:rPr>
        <w:t xml:space="preserve">Target variable: </w:t>
      </w:r>
      <w:r>
        <w:rPr>
          <w:rFonts w:ascii="Arial" w:cs="Arial" w:eastAsia="Arial" w:hAnsi="Arial"/>
          <w:sz w:val="24"/>
          <w:szCs w:val="24"/>
        </w:rPr>
        <w:t xml:space="preserve">Item_Outlet_Sales (continuous, right-skewed, range ~33–13,087)</w:t>
      </w:r>
    </w:p>
    <w:p>
      <w:pPr>
        <w:pStyle w:val="ListParagraph"/>
        <w:numPr>
          <w:ilvl w:val="0"/>
          <w:numId w:val="2"/>
        </w:numPr>
        <w:spacing w:after="80"/>
      </w:pPr>
      <w:r>
        <w:rPr>
          <w:rFonts w:ascii="Arial" w:cs="Arial" w:eastAsia="Arial" w:hAnsi="Arial"/>
          <w:b/>
          <w:bCs/>
          <w:sz w:val="24"/>
          <w:szCs w:val="24"/>
        </w:rPr>
        <w:t xml:space="preserve">Key data quality issues: </w:t>
      </w:r>
      <w:r>
        <w:rPr>
          <w:rFonts w:ascii="Arial" w:cs="Arial" w:eastAsia="Arial" w:hAnsi="Arial"/>
          <w:sz w:val="24"/>
          <w:szCs w:val="24"/>
        </w:rPr>
        <w:t xml:space="preserve">~17% missing Item_Weight, ~28% missing Outlet_Size, zero Item_Visibility values (artifact), inconsistent Item_Fat_Content labels</w:t>
      </w:r>
    </w:p>
    <w:p>
      <w:pPr>
        <w:spacing w:after="80"/>
      </w:pPr>
      <w:r>
        <w:t xml:space="preserve"/>
      </w:r>
    </w:p>
    <w:p>
      <w:pPr>
        <w:pStyle w:val="Heading2"/>
      </w:pPr>
      <w:r>
        <w:rPr>
          <w:rFonts w:ascii="Arial" w:cs="Arial" w:eastAsia="Arial" w:hAnsi="Arial"/>
          <w:b/>
          <w:bCs/>
        </w:rPr>
        <w:t xml:space="preserve">Canonical Preprocessing Pipeline</w:t>
      </w:r>
    </w:p>
    <w:p>
      <w:pPr>
        <w:spacing w:after="120"/>
        <w:jc w:val="left"/>
      </w:pPr>
      <w:r>
        <w:rPr>
          <w:rFonts w:ascii="Arial" w:cs="Arial" w:eastAsia="Arial" w:hAnsi="Arial"/>
          <w:b w:val="false"/>
          <w:bCs w:val="false"/>
          <w:color w:val="000000"/>
          <w:sz w:val="24"/>
          <w:szCs w:val="24"/>
        </w:rPr>
        <w:t xml:space="preserve">The pipeline order was corrected from Milestone 1 to enforce strict train-only fitting at every step. The canonical order implemented is:</w:t>
      </w:r>
    </w:p>
    <w:p>
      <w:pPr>
        <w:pStyle w:val="ListParagraph"/>
        <w:numPr>
          <w:ilvl w:val="0"/>
          <w:numId w:val="2"/>
        </w:numPr>
        <w:spacing w:after="80"/>
      </w:pPr>
      <w:r>
        <w:rPr>
          <w:rFonts w:ascii="Arial" w:cs="Arial" w:eastAsia="Arial" w:hAnsi="Arial"/>
          <w:sz w:val="24"/>
          <w:szCs w:val="24"/>
        </w:rPr>
        <w:t xml:space="preserve">Train-test split (80/20, random_state=42) — first step before any statistic is computed</w:t>
      </w:r>
    </w:p>
    <w:p>
      <w:pPr>
        <w:pStyle w:val="ListParagraph"/>
        <w:numPr>
          <w:ilvl w:val="0"/>
          <w:numId w:val="2"/>
        </w:numPr>
        <w:spacing w:after="80"/>
      </w:pPr>
      <w:r>
        <w:rPr>
          <w:rFonts w:ascii="Arial" w:cs="Arial" w:eastAsia="Arial" w:hAnsi="Arial"/>
          <w:sz w:val="24"/>
          <w:szCs w:val="24"/>
        </w:rPr>
        <w:t xml:space="preserve">Deterministic cleaning (pre-split) — label normalization, NC → No Fat reclassification, zero visibility → NaN, Outlet_Size sentinel fill; no statistics fit from data</w:t>
      </w:r>
    </w:p>
    <w:p>
      <w:pPr>
        <w:pStyle w:val="ListParagraph"/>
        <w:numPr>
          <w:ilvl w:val="0"/>
          <w:numId w:val="2"/>
        </w:numPr>
        <w:spacing w:after="80"/>
      </w:pPr>
      <w:r>
        <w:rPr>
          <w:rFonts w:ascii="Arial" w:cs="Arial" w:eastAsia="Arial" w:hAnsi="Arial"/>
          <w:sz w:val="24"/>
          <w:szCs w:val="24"/>
        </w:rPr>
        <w:t xml:space="preserve">Imputation (train-fit only) — Item_Visibility: group mean by Item_Identifier, fallback to global train mean; Item_Weight: group mean by Item_Identifier, fallback to group median by Item_Type</w:t>
      </w:r>
    </w:p>
    <w:p>
      <w:pPr>
        <w:pStyle w:val="ListParagraph"/>
        <w:numPr>
          <w:ilvl w:val="0"/>
          <w:numId w:val="2"/>
        </w:numPr>
        <w:spacing w:after="80"/>
      </w:pPr>
      <w:r>
        <w:rPr>
          <w:rFonts w:ascii="Arial" w:cs="Arial" w:eastAsia="Arial" w:hAnsi="Arial"/>
          <w:sz w:val="24"/>
          <w:szCs w:val="24"/>
        </w:rPr>
        <w:t xml:space="preserve">Outlier handling (train-fit thresholds) — IQR upper bound for Item_Visibility fit on X_train, cap applied to X_train, X_test, and df_test</w:t>
      </w:r>
    </w:p>
    <w:p>
      <w:pPr>
        <w:pStyle w:val="ListParagraph"/>
        <w:numPr>
          <w:ilvl w:val="0"/>
          <w:numId w:val="2"/>
        </w:numPr>
        <w:spacing w:after="80"/>
      </w:pPr>
      <w:r>
        <w:rPr>
          <w:rFonts w:ascii="Arial" w:cs="Arial" w:eastAsia="Arial" w:hAnsi="Arial"/>
          <w:sz w:val="24"/>
          <w:szCs w:val="24"/>
        </w:rPr>
        <w:t xml:space="preserve">Feature engineering — bins (MRP_bin, Weight_bin using qcut edges from X_train), calorie proxy (Calorie_Count_per_givenwt), Outlet_Existence, Outlet_Status, Item_Frequency, Item_Identifier_Type</w:t>
      </w:r>
    </w:p>
    <w:p>
      <w:pPr>
        <w:pStyle w:val="ListParagraph"/>
        <w:numPr>
          <w:ilvl w:val="0"/>
          <w:numId w:val="2"/>
        </w:numPr>
        <w:spacing w:after="80"/>
      </w:pPr>
      <w:r>
        <w:rPr>
          <w:rFonts w:ascii="Arial" w:cs="Arial" w:eastAsia="Arial" w:hAnsi="Arial"/>
          <w:sz w:val="24"/>
          <w:szCs w:val="24"/>
        </w:rPr>
        <w:t xml:space="preserve">Skew analysis → log/sqrt transforms — log_visibility (np.log), log_Calorie (np.sqrt) applied after skew check on X_train</w:t>
      </w:r>
    </w:p>
    <w:p>
      <w:pPr>
        <w:pStyle w:val="ListParagraph"/>
        <w:numPr>
          <w:ilvl w:val="0"/>
          <w:numId w:val="2"/>
        </w:numPr>
        <w:spacing w:after="80"/>
      </w:pPr>
      <w:r>
        <w:rPr>
          <w:rFonts w:ascii="Arial" w:cs="Arial" w:eastAsia="Arial" w:hAnsi="Arial"/>
          <w:sz w:val="24"/>
          <w:szCs w:val="24"/>
        </w:rPr>
        <w:t xml:space="preserve">Encoding — LabelEncoder fit on X_train for nominal columns; ordinal maps applied identically across splits</w:t>
      </w:r>
    </w:p>
    <w:p>
      <w:pPr>
        <w:pStyle w:val="ListParagraph"/>
        <w:numPr>
          <w:ilvl w:val="0"/>
          <w:numId w:val="2"/>
        </w:numPr>
        <w:spacing w:after="80"/>
      </w:pPr>
      <w:r>
        <w:rPr>
          <w:rFonts w:ascii="Arial" w:cs="Arial" w:eastAsia="Arial" w:hAnsi="Arial"/>
          <w:sz w:val="24"/>
          <w:szCs w:val="24"/>
        </w:rPr>
        <w:t xml:space="preserve">Scaling — StandardScaler fit on X_train across all numeric columns feeding the embedded feature selection check</w:t>
      </w:r>
    </w:p>
    <w:p>
      <w:pPr>
        <w:pStyle w:val="ListParagraph"/>
        <w:numPr>
          <w:ilvl w:val="0"/>
          <w:numId w:val="2"/>
        </w:numPr>
        <w:spacing w:after="80"/>
      </w:pPr>
      <w:r>
        <w:rPr>
          <w:rFonts w:ascii="Arial" w:cs="Arial" w:eastAsia="Arial" w:hAnsi="Arial"/>
          <w:sz w:val="24"/>
          <w:szCs w:val="24"/>
        </w:rPr>
        <w:t xml:space="preserve">Feature selection — four-step pipeline (see below)</w:t>
      </w:r>
    </w:p>
    <w:p>
      <w:pPr>
        <w:spacing w:after="80"/>
      </w:pPr>
      <w:r>
        <w:t xml:space="preserve"/>
      </w:r>
    </w:p>
    <w:p>
      <w:pPr>
        <w:pStyle w:val="Heading2"/>
      </w:pPr>
      <w:r>
        <w:rPr>
          <w:rFonts w:ascii="Arial" w:cs="Arial" w:eastAsia="Arial" w:hAnsi="Arial"/>
          <w:b/>
          <w:bCs/>
        </w:rPr>
        <w:t xml:space="preserve">Feature Selection Pipeline</w:t>
      </w:r>
    </w:p>
    <w:p>
      <w:pPr>
        <w:spacing w:after="120"/>
        <w:jc w:val="left"/>
      </w:pPr>
      <w:r>
        <w:rPr>
          <w:rFonts w:ascii="Arial" w:cs="Arial" w:eastAsia="Arial" w:hAnsi="Arial"/>
          <w:b w:val="false"/>
          <w:bCs w:val="false"/>
          <w:color w:val="000000"/>
          <w:sz w:val="24"/>
          <w:szCs w:val="24"/>
        </w:rPr>
        <w:t xml:space="preserve">A four-step principled selection procedure replaced the Milestone 1 hardcoded feature list:</w:t>
      </w:r>
    </w:p>
    <w:p>
      <w:pPr>
        <w:pStyle w:val="ListParagraph"/>
        <w:numPr>
          <w:ilvl w:val="0"/>
          <w:numId w:val="2"/>
        </w:numPr>
        <w:spacing w:after="80"/>
      </w:pPr>
      <w:r>
        <w:rPr>
          <w:rFonts w:ascii="Arial" w:cs="Arial" w:eastAsia="Arial" w:hAnsi="Arial"/>
          <w:sz w:val="24"/>
          <w:szCs w:val="24"/>
        </w:rPr>
        <w:t xml:space="preserve">Step 1 — Dedup: drop one side of any pairwise correlation &gt; 0.8, retaining the side with stronger target correlation. Dropped: Calorie_Count_per_100g, Item_Weight, MRP_bin, Outlet_Establishment_Year, Outlet_Existence, log_Calorie, log_visibility</w:t>
      </w:r>
    </w:p>
    <w:p>
      <w:pPr>
        <w:pStyle w:val="ListParagraph"/>
        <w:numPr>
          <w:ilvl w:val="0"/>
          <w:numId w:val="2"/>
        </w:numPr>
        <w:spacing w:after="80"/>
      </w:pPr>
      <w:r>
        <w:rPr>
          <w:rFonts w:ascii="Arial" w:cs="Arial" w:eastAsia="Arial" w:hAnsi="Arial"/>
          <w:sz w:val="24"/>
          <w:szCs w:val="24"/>
        </w:rPr>
        <w:t xml:space="preserve">Step 2 — Univariate significance: one-way ANOVA (scipy.stats.f_oneway) for categorical columns grouped by level; Pearson r for continuous columns. Both computed on X_train/y_train only</w:t>
      </w:r>
    </w:p>
    <w:p>
      <w:pPr>
        <w:pStyle w:val="ListParagraph"/>
        <w:numPr>
          <w:ilvl w:val="0"/>
          <w:numId w:val="2"/>
        </w:numPr>
        <w:spacing w:after="80"/>
      </w:pPr>
      <w:r>
        <w:rPr>
          <w:rFonts w:ascii="Arial" w:cs="Arial" w:eastAsia="Arial" w:hAnsi="Arial"/>
          <w:sz w:val="24"/>
          <w:szCs w:val="24"/>
        </w:rPr>
        <w:t xml:space="preserve">Step 3 — Embedded check: SelectFromModel(LinearRegression()) on full-column StandardScaler-scaled X_train</w:t>
      </w:r>
    </w:p>
    <w:p>
      <w:pPr>
        <w:pStyle w:val="ListParagraph"/>
        <w:numPr>
          <w:ilvl w:val="0"/>
          <w:numId w:val="2"/>
        </w:numPr>
        <w:spacing w:after="80"/>
      </w:pPr>
      <w:r>
        <w:rPr>
          <w:rFonts w:ascii="Arial" w:cs="Arial" w:eastAsia="Arial" w:hAnsi="Arial"/>
          <w:sz w:val="24"/>
          <w:szCs w:val="24"/>
        </w:rPr>
        <w:t xml:space="preserve">Step 4 — Agreement score: features flagged by both methods (Agreement=2) form the high-confidence core; features flagged by one (Agreement=1) are retained at min_agreement=1 threshold</w:t>
      </w:r>
    </w:p>
    <w:p>
      <w:pPr>
        <w:spacing w:after="80"/>
      </w:pPr>
      <w:r>
        <w:t xml:space="preserve"/>
      </w:r>
    </w:p>
    <w:p>
      <w:pPr>
        <w:spacing w:after="120"/>
        <w:jc w:val="left"/>
      </w:pPr>
      <w:r>
        <w:rPr>
          <w:rFonts w:ascii="Arial" w:cs="Arial" w:eastAsia="Arial" w:hAnsi="Arial"/>
          <w:b w:val="false"/>
          <w:bCs w:val="false"/>
          <w:color w:val="000000"/>
          <w:sz w:val="24"/>
          <w:szCs w:val="24"/>
        </w:rPr>
        <w:t xml:space="preserve">The final feature set (final_features) is derived programmatically from the Agreement table, not hand-picked. The Milestone 1 hardcoded list missed Outlet_Size and Outlet_Location_Type (two of four consensus features) and included Outlet_Existence (multicollinearity artifact) and Calorie_Count_per_givenwt (r=0.03, negligible effect size).</w:t>
      </w:r>
    </w:p>
    <w:p>
      <w:pPr>
        <w:spacing w:after="80"/>
      </w:pPr>
      <w:r>
        <w:t xml:space="preserve"/>
      </w:r>
    </w:p>
    <w:p>
      <w:pPr>
        <w:pStyle w:val="Heading2"/>
      </w:pPr>
      <w:r>
        <w:rPr>
          <w:rFonts w:ascii="Arial" w:cs="Arial" w:eastAsia="Arial" w:hAnsi="Arial"/>
          <w:b/>
          <w:bCs/>
        </w:rPr>
        <w:t xml:space="preserve">Final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760"/>
        <w:gridCol w:w="200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Agreement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Item_MRP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Maximum Retail Price of the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Outlet_Type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 (encoded)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Grocery Store / Supermarket Type 1/2/3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Outlet_Size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Ordinal (0–2)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 / Medium /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Outlet_Location_Type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Ordinal (0–2)</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Tier 1 / Tier 2 / Tier 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Item_Visibility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 (scaled)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Shelf display area fraction (post-imputation)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Item_Frequency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Binary</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Daily (D) vs Seasonal (S) consumption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 (encoded)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 product 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Item_Identifier_Type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 (encoded)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FD / DR / NC prefix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Outlet_Status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Established before/after 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Calorie_Count_per_givenwt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Continuous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Domain proxy: calories per item weight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r>
    </w:tbl>
    <w:p>
      <w:pPr>
        <w:spacing w:after="80"/>
      </w:pPr>
      <w:r>
        <w:t xml:space="preserve"/>
      </w:r>
    </w:p>
    <w:p>
      <w:pPr>
        <w:pStyle w:val="Heading1"/>
      </w:pPr>
      <w:r>
        <w:rPr>
          <w:rFonts w:ascii="Arial" w:cs="Arial" w:eastAsia="Arial" w:hAnsi="Arial"/>
          <w:b/>
          <w:bCs/>
        </w:rPr>
        <w:t xml:space="preserve">Methods</w:t>
      </w:r>
    </w:p>
    <w:p>
      <w:pPr>
        <w:pStyle w:val="Heading2"/>
      </w:pPr>
      <w:r>
        <w:rPr>
          <w:rFonts w:ascii="Arial" w:cs="Arial" w:eastAsia="Arial" w:hAnsi="Arial"/>
          <w:b/>
          <w:bCs/>
        </w:rPr>
        <w:t xml:space="preserve">Target Variable Transformation</w:t>
      </w:r>
    </w:p>
    <w:p>
      <w:pPr>
        <w:spacing w:after="120"/>
        <w:jc w:val="left"/>
      </w:pPr>
      <w:r>
        <w:rPr>
          <w:rFonts w:ascii="Arial" w:cs="Arial" w:eastAsia="Arial" w:hAnsi="Arial"/>
          <w:b w:val="false"/>
          <w:bCs w:val="false"/>
          <w:color w:val="000000"/>
          <w:sz w:val="24"/>
          <w:szCs w:val="24"/>
        </w:rPr>
        <w:t xml:space="preserve">Item_Outlet_Sales is right-skewed (mean 2,181 vs. median 1,794, max 13,087). y_train was log-transformed (np.log) before modeling. Without the transform: 82 of 5,681 final predictions were negative, predicted max (6,554) fell far below training max (13,087), and R² dropped from 0.735 to 0.596. The log-transform resolved all three issues. Final predictions are back-transformed via np.exp(), with Duan’s nonparametric smearing correction applied:</w:t>
      </w:r>
    </w:p>
    <w:p>
      <w:pPr>
        <w:spacing w:after="80"/>
        <w:ind w:left="720"/>
      </w:pPr>
      <w:r>
        <w:rPr>
          <w:rFonts w:ascii="Courier New" w:cs="Courier New" w:eastAsia="Courier New" w:hAnsi="Courier New"/>
          <w:color w:val="1F4E79"/>
          <w:sz w:val="20"/>
          <w:szCs w:val="20"/>
        </w:rPr>
        <w:t xml:space="preserve">smear = mean(exp(holdout residuals))</w:t>
      </w:r>
    </w:p>
    <w:p>
      <w:pPr>
        <w:spacing w:after="80"/>
        <w:ind w:left="720"/>
      </w:pPr>
      <w:r>
        <w:rPr>
          <w:rFonts w:ascii="Courier New" w:cs="Courier New" w:eastAsia="Courier New" w:hAnsi="Courier New"/>
          <w:color w:val="1F4E79"/>
          <w:sz w:val="20"/>
          <w:szCs w:val="20"/>
        </w:rPr>
        <w:t xml:space="preserve">predictions = exp(final_model.predict(X_test)) × smear</w:t>
      </w:r>
    </w:p>
    <w:p>
      <w:pPr>
        <w:spacing w:after="80"/>
      </w:pPr>
      <w:r>
        <w:t xml:space="preserve"/>
      </w:r>
    </w:p>
    <w:p>
      <w:pPr>
        <w:spacing w:after="120"/>
        <w:jc w:val="left"/>
      </w:pPr>
      <w:r>
        <w:rPr>
          <w:rFonts w:ascii="Arial" w:cs="Arial" w:eastAsia="Arial" w:hAnsi="Arial"/>
          <w:b w:val="false"/>
          <w:bCs w:val="false"/>
          <w:color w:val="000000"/>
          <w:sz w:val="24"/>
          <w:szCs w:val="24"/>
        </w:rPr>
        <w:t xml:space="preserve">The smearing correction offsets the ~11% low-bias introduced by Jensen’s inequality on the exp() retransformation. Residuals are computed on an honest out-of-sample holdout (model fit on X_cv_train only), not in-sample.</w:t>
      </w:r>
    </w:p>
    <w:p>
      <w:pPr>
        <w:spacing w:after="80"/>
      </w:pPr>
      <w:r>
        <w:t xml:space="preserve"/>
      </w:r>
    </w:p>
    <w:p>
      <w:pPr>
        <w:pStyle w:val="Heading2"/>
      </w:pPr>
      <w:r>
        <w:rPr>
          <w:rFonts w:ascii="Arial" w:cs="Arial" w:eastAsia="Arial" w:hAnsi="Arial"/>
          <w:b/>
          <w:bCs/>
        </w:rPr>
        <w:t xml:space="preserve">Model Comparison Framework</w:t>
      </w:r>
    </w:p>
    <w:p>
      <w:pPr>
        <w:spacing w:after="120"/>
        <w:jc w:val="left"/>
      </w:pPr>
      <w:r>
        <w:rPr>
          <w:rFonts w:ascii="Arial" w:cs="Arial" w:eastAsia="Arial" w:hAnsi="Arial"/>
          <w:b w:val="false"/>
          <w:bCs w:val="false"/>
          <w:color w:val="000000"/>
          <w:sz w:val="24"/>
          <w:szCs w:val="24"/>
        </w:rPr>
        <w:t xml:space="preserve">All eight candidate models are evaluated using the same framework:</w:t>
      </w:r>
    </w:p>
    <w:p>
      <w:pPr>
        <w:pStyle w:val="ListParagraph"/>
        <w:numPr>
          <w:ilvl w:val="0"/>
          <w:numId w:val="2"/>
        </w:numPr>
        <w:spacing w:after="80"/>
      </w:pPr>
      <w:r>
        <w:rPr>
          <w:rFonts w:ascii="Arial" w:cs="Arial" w:eastAsia="Arial" w:hAnsi="Arial"/>
          <w:sz w:val="24"/>
          <w:szCs w:val="24"/>
        </w:rPr>
        <w:t xml:space="preserve">5-fold cross-validation on the CV-train split (80% of labeled data): reports RMSE mean ± std, MAE mean ± std, R² mean ± std, and OOF RMSE</w:t>
      </w:r>
    </w:p>
    <w:p>
      <w:pPr>
        <w:pStyle w:val="ListParagraph"/>
        <w:numPr>
          <w:ilvl w:val="0"/>
          <w:numId w:val="2"/>
        </w:numPr>
        <w:spacing w:after="80"/>
      </w:pPr>
      <w:r>
        <w:rPr>
          <w:rFonts w:ascii="Arial" w:cs="Arial" w:eastAsia="Arial" w:hAnsi="Arial"/>
          <w:sz w:val="24"/>
          <w:szCs w:val="24"/>
        </w:rPr>
        <w:t xml:space="preserve">Single holdout evaluation on the remaining 20%: one honest confirmation after model selection, never used for fitting or tuning</w:t>
      </w:r>
    </w:p>
    <w:p>
      <w:pPr>
        <w:pStyle w:val="ListParagraph"/>
        <w:numPr>
          <w:ilvl w:val="0"/>
          <w:numId w:val="2"/>
        </w:numPr>
        <w:spacing w:after="80"/>
      </w:pPr>
      <w:r>
        <w:rPr>
          <w:rFonts w:ascii="Arial" w:cs="Arial" w:eastAsia="Arial" w:hAnsi="Arial"/>
          <w:sz w:val="24"/>
          <w:szCs w:val="24"/>
        </w:rPr>
        <w:t xml:space="preserve">Final model refit on 100% of labeled data before predicting the unlabeled Kaggle test set</w:t>
      </w:r>
    </w:p>
    <w:p>
      <w:pPr>
        <w:spacing w:after="80"/>
      </w:pPr>
      <w:r>
        <w:t xml:space="preserve"/>
      </w:r>
    </w:p>
    <w:p>
      <w:pPr>
        <w:pStyle w:val="Heading2"/>
      </w:pPr>
      <w:r>
        <w:rPr>
          <w:rFonts w:ascii="Arial" w:cs="Arial" w:eastAsia="Arial" w:hAnsi="Arial"/>
          <w:b/>
          <w:bCs/>
        </w:rPr>
        <w:t xml:space="preserve">Candidate Models</w:t>
      </w:r>
    </w:p>
    <w:p>
      <w:pPr>
        <w:pStyle w:val="ListParagraph"/>
        <w:numPr>
          <w:ilvl w:val="0"/>
          <w:numId w:val="2"/>
        </w:numPr>
        <w:spacing w:after="80"/>
      </w:pPr>
      <w:r>
        <w:rPr>
          <w:rFonts w:ascii="Arial" w:cs="Arial" w:eastAsia="Arial" w:hAnsi="Arial"/>
          <w:sz w:val="24"/>
          <w:szCs w:val="24"/>
        </w:rPr>
        <w:t xml:space="preserve">Linear Regression — Pipeline(StandardScaler + LinearRegression)</w:t>
      </w:r>
    </w:p>
    <w:p>
      <w:pPr>
        <w:pStyle w:val="ListParagraph"/>
        <w:numPr>
          <w:ilvl w:val="0"/>
          <w:numId w:val="2"/>
        </w:numPr>
        <w:spacing w:after="80"/>
      </w:pPr>
      <w:r>
        <w:rPr>
          <w:rFonts w:ascii="Arial" w:cs="Arial" w:eastAsia="Arial" w:hAnsi="Arial"/>
          <w:sz w:val="24"/>
          <w:szCs w:val="24"/>
        </w:rPr>
        <w:t xml:space="preserve">Ridge — Pipeline(StandardScaler + Ridge), L2 regularization</w:t>
      </w:r>
    </w:p>
    <w:p>
      <w:pPr>
        <w:pStyle w:val="ListParagraph"/>
        <w:numPr>
          <w:ilvl w:val="0"/>
          <w:numId w:val="2"/>
        </w:numPr>
        <w:spacing w:after="80"/>
      </w:pPr>
      <w:r>
        <w:rPr>
          <w:rFonts w:ascii="Arial" w:cs="Arial" w:eastAsia="Arial" w:hAnsi="Arial"/>
          <w:sz w:val="24"/>
          <w:szCs w:val="24"/>
        </w:rPr>
        <w:t xml:space="preserve">Lasso — Pipeline(StandardScaler + Lasso), L1 regularization (alpha=1.0; broken on log scale — see Limitations)</w:t>
      </w:r>
    </w:p>
    <w:p>
      <w:pPr>
        <w:pStyle w:val="ListParagraph"/>
        <w:numPr>
          <w:ilvl w:val="0"/>
          <w:numId w:val="2"/>
        </w:numPr>
        <w:spacing w:after="80"/>
      </w:pPr>
      <w:r>
        <w:rPr>
          <w:rFonts w:ascii="Arial" w:cs="Arial" w:eastAsia="Arial" w:hAnsi="Arial"/>
          <w:sz w:val="24"/>
          <w:szCs w:val="24"/>
        </w:rPr>
        <w:t xml:space="preserve">Decision Tree — DecisionTreeRegressor(random_state=42)</w:t>
      </w:r>
    </w:p>
    <w:p>
      <w:pPr>
        <w:pStyle w:val="ListParagraph"/>
        <w:numPr>
          <w:ilvl w:val="0"/>
          <w:numId w:val="2"/>
        </w:numPr>
        <w:spacing w:after="80"/>
      </w:pPr>
      <w:r>
        <w:rPr>
          <w:rFonts w:ascii="Arial" w:cs="Arial" w:eastAsia="Arial" w:hAnsi="Arial"/>
          <w:sz w:val="24"/>
          <w:szCs w:val="24"/>
        </w:rPr>
        <w:t xml:space="preserve">Random Forest — RandomForestRegressor(random_state=42, max_features=4)</w:t>
      </w:r>
    </w:p>
    <w:p>
      <w:pPr>
        <w:pStyle w:val="ListParagraph"/>
        <w:numPr>
          <w:ilvl w:val="0"/>
          <w:numId w:val="2"/>
        </w:numPr>
        <w:spacing w:after="80"/>
      </w:pPr>
      <w:r>
        <w:rPr>
          <w:rFonts w:ascii="Arial" w:cs="Arial" w:eastAsia="Arial" w:hAnsi="Arial"/>
          <w:sz w:val="24"/>
          <w:szCs w:val="24"/>
        </w:rPr>
        <w:t xml:space="preserve">Gradient Boosting — GradientBoostingRegressor(random_state=42)</w:t>
      </w:r>
    </w:p>
    <w:p>
      <w:pPr>
        <w:pStyle w:val="ListParagraph"/>
        <w:numPr>
          <w:ilvl w:val="0"/>
          <w:numId w:val="2"/>
        </w:numPr>
        <w:spacing w:after="80"/>
      </w:pPr>
      <w:r>
        <w:rPr>
          <w:rFonts w:ascii="Arial" w:cs="Arial" w:eastAsia="Arial" w:hAnsi="Arial"/>
          <w:sz w:val="24"/>
          <w:szCs w:val="24"/>
        </w:rPr>
        <w:t xml:space="preserve">AdaBoost — AdaBoostRegressor(random_state=42, n_estimators=10, learning_rate=0.1)</w:t>
      </w:r>
    </w:p>
    <w:p>
      <w:pPr>
        <w:pStyle w:val="ListParagraph"/>
        <w:numPr>
          <w:ilvl w:val="0"/>
          <w:numId w:val="2"/>
        </w:numPr>
        <w:spacing w:after="80"/>
      </w:pPr>
      <w:r>
        <w:rPr>
          <w:rFonts w:ascii="Arial" w:cs="Arial" w:eastAsia="Arial" w:hAnsi="Arial"/>
          <w:sz w:val="24"/>
          <w:szCs w:val="24"/>
        </w:rPr>
        <w:t xml:space="preserve">Bagging — BaggingRegressor(GradientBoostingRegressor, random_state=42, n_estimators=5)</w:t>
      </w:r>
    </w:p>
    <w:p>
      <w:pPr>
        <w:spacing w:after="80"/>
      </w:pPr>
      <w:r>
        <w:t xml:space="preserve"/>
      </w:r>
    </w:p>
    <w:p>
      <w:pPr>
        <w:pStyle w:val="Heading2"/>
      </w:pPr>
      <w:r>
        <w:rPr>
          <w:rFonts w:ascii="Arial" w:cs="Arial" w:eastAsia="Arial" w:hAnsi="Arial"/>
          <w:b/>
          <w:bCs/>
        </w:rPr>
        <w:t xml:space="preserve">Hyperparameter Tuning</w:t>
      </w:r>
    </w:p>
    <w:p>
      <w:pPr>
        <w:spacing w:after="120"/>
        <w:jc w:val="left"/>
      </w:pPr>
      <w:r>
        <w:rPr>
          <w:rFonts w:ascii="Arial" w:cs="Arial" w:eastAsia="Arial" w:hAnsi="Arial"/>
          <w:b w:val="false"/>
          <w:bCs w:val="false"/>
          <w:color w:val="000000"/>
          <w:sz w:val="24"/>
          <w:szCs w:val="24"/>
        </w:rPr>
        <w:t xml:space="preserve">GridSearchCV was applied to GradientBoostingRegressor with cv=5 over the following grid:</w:t>
      </w:r>
    </w:p>
    <w:p>
      <w:pPr>
        <w:pStyle w:val="ListParagraph"/>
        <w:numPr>
          <w:ilvl w:val="0"/>
          <w:numId w:val="2"/>
        </w:numPr>
        <w:spacing w:after="80"/>
      </w:pPr>
      <w:r>
        <w:rPr>
          <w:rFonts w:ascii="Arial" w:cs="Arial" w:eastAsia="Arial" w:hAnsi="Arial"/>
          <w:sz w:val="24"/>
          <w:szCs w:val="24"/>
        </w:rPr>
        <w:t xml:space="preserve">max_features: [1, 2, 3, 4, 5]</w:t>
      </w:r>
    </w:p>
    <w:p>
      <w:pPr>
        <w:pStyle w:val="ListParagraph"/>
        <w:numPr>
          <w:ilvl w:val="0"/>
          <w:numId w:val="2"/>
        </w:numPr>
        <w:spacing w:after="80"/>
      </w:pPr>
      <w:r>
        <w:rPr>
          <w:rFonts w:ascii="Arial" w:cs="Arial" w:eastAsia="Arial" w:hAnsi="Arial"/>
          <w:sz w:val="24"/>
          <w:szCs w:val="24"/>
        </w:rPr>
        <w:t xml:space="preserve">min_samples_leaf: [0.1, 0.2, 0.3, 1, 2, 3, 4, 5]</w:t>
      </w:r>
    </w:p>
    <w:p>
      <w:pPr>
        <w:pStyle w:val="ListParagraph"/>
        <w:numPr>
          <w:ilvl w:val="0"/>
          <w:numId w:val="2"/>
        </w:numPr>
        <w:spacing w:after="80"/>
      </w:pPr>
      <w:r>
        <w:rPr>
          <w:rFonts w:ascii="Arial" w:cs="Arial" w:eastAsia="Arial" w:hAnsi="Arial"/>
          <w:sz w:val="24"/>
          <w:szCs w:val="24"/>
        </w:rPr>
        <w:t xml:space="preserve">max_leaf_nodes: [2, 3, 4, 5, 6]</w:t>
      </w:r>
    </w:p>
    <w:p>
      <w:pPr>
        <w:pStyle w:val="ListParagraph"/>
        <w:numPr>
          <w:ilvl w:val="0"/>
          <w:numId w:val="2"/>
        </w:numPr>
        <w:spacing w:after="80"/>
      </w:pPr>
      <w:r>
        <w:rPr>
          <w:rFonts w:ascii="Arial" w:cs="Arial" w:eastAsia="Arial" w:hAnsi="Arial"/>
          <w:sz w:val="24"/>
          <w:szCs w:val="24"/>
        </w:rPr>
        <w:t xml:space="preserve">min_samples_split: [0.1, 0.2, 0.3, 0.4]</w:t>
      </w:r>
    </w:p>
    <w:p>
      <w:pPr>
        <w:spacing w:after="80"/>
      </w:pPr>
      <w:r>
        <w:t xml:space="preserve"/>
      </w:r>
    </w:p>
    <w:p>
      <w:pPr>
        <w:spacing w:after="120"/>
        <w:jc w:val="left"/>
      </w:pPr>
      <w:r>
        <w:rPr>
          <w:rFonts w:ascii="Arial" w:cs="Arial" w:eastAsia="Arial" w:hAnsi="Arial"/>
          <w:b w:val="false"/>
          <w:bCs w:val="false"/>
          <w:color w:val="000000"/>
          <w:sz w:val="24"/>
          <w:szCs w:val="24"/>
        </w:rPr>
        <w:t xml:space="preserve">Best params: max_features=5, max_leaf_nodes=4, min_samples_leaf=3, min_samples_split=0.1. Tuned GBR CV RMSE: 0.523 vs. untuned default 0.524 — no material improvement across all three tuning sessions. grid.best_estimator_ is passed directly into the final Bagging wrapper, correcting the Milestone 1 gap where best params were computed but never used.</w:t>
      </w:r>
    </w:p>
    <w:p>
      <w:pPr>
        <w:spacing w:after="80"/>
      </w:pPr>
      <w:r>
        <w:t xml:space="preserve"/>
      </w:r>
    </w:p>
    <w:p>
      <w:pPr>
        <w:pStyle w:val="Heading1"/>
      </w:pPr>
      <w:r>
        <w:rPr>
          <w:rFonts w:ascii="Arial" w:cs="Arial" w:eastAsia="Arial" w:hAnsi="Arial"/>
          <w:b/>
          <w:bCs/>
        </w:rPr>
        <w:t xml:space="preserve">Anomaly Detection Module (PyOD)</w:t>
      </w:r>
    </w:p>
    <w:p>
      <w:pPr>
        <w:pStyle w:val="Heading2"/>
      </w:pPr>
      <w:r>
        <w:rPr>
          <w:rFonts w:ascii="Arial" w:cs="Arial" w:eastAsia="Arial" w:hAnsi="Arial"/>
          <w:b/>
          <w:bCs/>
        </w:rPr>
        <w:t xml:space="preserve">Purpose and Motivation</w:t>
      </w:r>
    </w:p>
    <w:p>
      <w:pPr>
        <w:spacing w:after="120"/>
        <w:jc w:val="left"/>
      </w:pPr>
      <w:r>
        <w:rPr>
          <w:rFonts w:ascii="Arial" w:cs="Arial" w:eastAsia="Arial" w:hAnsi="Arial"/>
          <w:b w:val="false"/>
          <w:bCs w:val="false"/>
          <w:color w:val="000000"/>
          <w:sz w:val="24"/>
          <w:szCs w:val="24"/>
        </w:rPr>
        <w:t xml:space="preserve">The predictive model identifies what sales should be; the anomaly detection module identifies which observations deviate structurally from expected behavior. These are complementary objectives: a product-outlet combination can have a high predicted sales value and still be anomalous if its feature profile is unlike anything the model was trained on. PyOD (Python Outlier Detection) was selected as the anomaly detection framework because it provides a unified API across unsupervised detection algorithms and integrates directly with the same preprocessed feature matrix used by the regression pipeline.</w:t>
      </w:r>
    </w:p>
    <w:p>
      <w:pPr>
        <w:spacing w:after="80"/>
      </w:pPr>
      <w:r>
        <w:t xml:space="preserve"/>
      </w:r>
    </w:p>
    <w:p>
      <w:pPr>
        <w:spacing w:after="120"/>
        <w:jc w:val="left"/>
      </w:pPr>
      <w:r>
        <w:rPr>
          <w:rFonts w:ascii="Arial" w:cs="Arial" w:eastAsia="Arial" w:hAnsi="Arial"/>
          <w:b w:val="false"/>
          <w:bCs w:val="false"/>
          <w:color w:val="000000"/>
          <w:sz w:val="24"/>
          <w:szCs w:val="24"/>
        </w:rPr>
        <w:t xml:space="preserve">The business motivation is to give BigMart operations teams a prioritized list of product-outlet combinations that warrant further investigation — not just predictions, but flags for structural abnormality.</w:t>
      </w:r>
    </w:p>
    <w:p>
      <w:pPr>
        <w:spacing w:after="80"/>
      </w:pPr>
      <w:r>
        <w:t xml:space="preserve"/>
      </w:r>
    </w:p>
    <w:p>
      <w:pPr>
        <w:pStyle w:val="Heading2"/>
      </w:pPr>
      <w:r>
        <w:rPr>
          <w:rFonts w:ascii="Arial" w:cs="Arial" w:eastAsia="Arial" w:hAnsi="Arial"/>
          <w:b/>
          <w:bCs/>
        </w:rPr>
        <w:t xml:space="preserve">Input Data</w:t>
      </w:r>
    </w:p>
    <w:p>
      <w:pPr>
        <w:spacing w:after="120"/>
        <w:jc w:val="left"/>
      </w:pPr>
      <w:r>
        <w:rPr>
          <w:rFonts w:ascii="Arial" w:cs="Arial" w:eastAsia="Arial" w:hAnsi="Arial"/>
          <w:b w:val="false"/>
          <w:bCs w:val="false"/>
          <w:color w:val="000000"/>
          <w:sz w:val="24"/>
          <w:szCs w:val="24"/>
        </w:rPr>
        <w:t xml:space="preserve">The PyOD module operates on the same precleaned, encoded, and scaled feature matrix exported from the main notebook (data/train_precleaned.csv). Features used for anomaly scoring are the full post-encoding feature set prior to final_features selection — a deliberate choice to ensure that redundant or low-signal features that were excluded from regression still contribute to outlier detection, where global feature profile similarity matters more than marginal predictive contribution.</w:t>
      </w:r>
    </w:p>
    <w:p>
      <w:pPr>
        <w:spacing w:after="80"/>
      </w:pPr>
      <w:r>
        <w:t xml:space="preserve"/>
      </w:r>
    </w:p>
    <w:p>
      <w:pPr>
        <w:pStyle w:val="Heading2"/>
      </w:pPr>
      <w:r>
        <w:rPr>
          <w:rFonts w:ascii="Arial" w:cs="Arial" w:eastAsia="Arial" w:hAnsi="Arial"/>
          <w:b/>
          <w:bCs/>
        </w:rPr>
        <w:t xml:space="preserve">Algorithms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Ensemble (tree-based)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Isolation Forest: isolates anomalies by randomly partitioning feature space; anomalies require fewer splits to isolate. Computationally efficient, handles high-dimensional mixed-type features well. Primary algorithm for this dataset.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Density-based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Local Outlier Factor: compares local density of a point to its k-nearest neighbors. Detects contextual outliers — observations that are anomalous within their local neighborhood even if not globally extreme.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CBLOF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Cluster-based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Cluster-Based LOF: assigns outlier scores based on distance from cluster centroids and cluster size. Useful for identifying items that do not belong to any natural grouping in the feature space.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HBOS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Histogram-based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Histogram-Based Outlier Score: builds independent histograms per feature; scores based on bin frequency. Fast, assumes feature independence, serves as a complementary lightweight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OCSVM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Kernel-based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One-Class SVM: learns a boundary around the majority of training data in a kernel-transformed space. Sensitive to scale and hyperparameter choice; used as a cross-validation check against tree-based results.</w:t>
            </w:r>
          </w:p>
        </w:tc>
      </w:tr>
    </w:tbl>
    <w:p>
      <w:pPr>
        <w:spacing w:after="80"/>
      </w:pPr>
      <w:r>
        <w:t xml:space="preserve"/>
      </w:r>
    </w:p>
    <w:p>
      <w:pPr>
        <w:pStyle w:val="Heading2"/>
      </w:pPr>
      <w:r>
        <w:rPr>
          <w:rFonts w:ascii="Arial" w:cs="Arial" w:eastAsia="Arial" w:hAnsi="Arial"/>
          <w:b/>
          <w:bCs/>
        </w:rPr>
        <w:t xml:space="preserve">Ensemble Scoring and Consensus</w:t>
      </w:r>
    </w:p>
    <w:p>
      <w:pPr>
        <w:spacing w:after="120"/>
        <w:jc w:val="left"/>
      </w:pPr>
      <w:r>
        <w:rPr>
          <w:rFonts w:ascii="Arial" w:cs="Arial" w:eastAsia="Arial" w:hAnsi="Arial"/>
          <w:b w:val="false"/>
          <w:bCs w:val="false"/>
          <w:color w:val="000000"/>
          <w:sz w:val="24"/>
          <w:szCs w:val="24"/>
        </w:rPr>
        <w:t xml:space="preserve">Rather than relying on a single algorithm, outlier scores from all five detectors are combined into a consensus score. The methodology:</w:t>
      </w:r>
    </w:p>
    <w:p>
      <w:pPr>
        <w:pStyle w:val="ListParagraph"/>
        <w:numPr>
          <w:ilvl w:val="0"/>
          <w:numId w:val="2"/>
        </w:numPr>
        <w:spacing w:after="80"/>
      </w:pPr>
      <w:r>
        <w:rPr>
          <w:rFonts w:ascii="Arial" w:cs="Arial" w:eastAsia="Arial" w:hAnsi="Arial"/>
          <w:sz w:val="24"/>
          <w:szCs w:val="24"/>
        </w:rPr>
        <w:t xml:space="preserve">Each algorithm produces a binary label (0 = inlier, 1 = outlier) using a fixed contamination rate of 5% (approximately 426 records from 8,523 training rows)</w:t>
      </w:r>
    </w:p>
    <w:p>
      <w:pPr>
        <w:pStyle w:val="ListParagraph"/>
        <w:numPr>
          <w:ilvl w:val="0"/>
          <w:numId w:val="2"/>
        </w:numPr>
        <w:spacing w:after="80"/>
      </w:pPr>
      <w:r>
        <w:rPr>
          <w:rFonts w:ascii="Arial" w:cs="Arial" w:eastAsia="Arial" w:hAnsi="Arial"/>
          <w:sz w:val="24"/>
          <w:szCs w:val="24"/>
        </w:rPr>
        <w:t xml:space="preserve">A consensus_score is computed as the sum of binary flags across all five detectors per observation (range 0–5)</w:t>
      </w:r>
    </w:p>
    <w:p>
      <w:pPr>
        <w:pStyle w:val="ListParagraph"/>
        <w:numPr>
          <w:ilvl w:val="0"/>
          <w:numId w:val="2"/>
        </w:numPr>
        <w:spacing w:after="80"/>
      </w:pPr>
      <w:r>
        <w:rPr>
          <w:rFonts w:ascii="Arial" w:cs="Arial" w:eastAsia="Arial" w:hAnsi="Arial"/>
          <w:sz w:val="24"/>
          <w:szCs w:val="24"/>
        </w:rPr>
        <w:t xml:space="preserve">Observations flagged by 3 or more detectors (consensus_score ≥ 3) are classified as high-confidence anomalies</w:t>
      </w:r>
    </w:p>
    <w:p>
      <w:pPr>
        <w:pStyle w:val="ListParagraph"/>
        <w:numPr>
          <w:ilvl w:val="0"/>
          <w:numId w:val="2"/>
        </w:numPr>
        <w:spacing w:after="80"/>
      </w:pPr>
      <w:r>
        <w:rPr>
          <w:rFonts w:ascii="Arial" w:cs="Arial" w:eastAsia="Arial" w:hAnsi="Arial"/>
          <w:sz w:val="24"/>
          <w:szCs w:val="24"/>
        </w:rPr>
        <w:t xml:space="preserve">Observations flagged by 1–2 detectors are classified as borderline anomalies</w:t>
      </w:r>
    </w:p>
    <w:p>
      <w:pPr>
        <w:pStyle w:val="ListParagraph"/>
        <w:numPr>
          <w:ilvl w:val="0"/>
          <w:numId w:val="2"/>
        </w:numPr>
        <w:spacing w:after="80"/>
      </w:pPr>
      <w:r>
        <w:rPr>
          <w:rFonts w:ascii="Arial" w:cs="Arial" w:eastAsia="Arial" w:hAnsi="Arial"/>
          <w:sz w:val="24"/>
          <w:szCs w:val="24"/>
        </w:rPr>
        <w:t xml:space="preserve">IForest scores are used as the primary continuous ranking within each tier, given its strong performance on mixed tabular data</w:t>
      </w:r>
    </w:p>
    <w:p>
      <w:pPr>
        <w:spacing w:after="80"/>
      </w:pPr>
      <w:r>
        <w:t xml:space="preserve"/>
      </w:r>
    </w:p>
    <w:p>
      <w:pPr>
        <w:pStyle w:val="Heading2"/>
      </w:pPr>
      <w:r>
        <w:rPr>
          <w:rFonts w:ascii="Arial" w:cs="Arial" w:eastAsia="Arial" w:hAnsi="Arial"/>
          <w:b/>
          <w:bCs/>
        </w:rPr>
        <w:t xml:space="preserve">Business Categorization of Anomalies</w:t>
      </w:r>
    </w:p>
    <w:p>
      <w:pPr>
        <w:spacing w:after="120"/>
        <w:jc w:val="left"/>
      </w:pPr>
      <w:r>
        <w:rPr>
          <w:rFonts w:ascii="Arial" w:cs="Arial" w:eastAsia="Arial" w:hAnsi="Arial"/>
          <w:b w:val="false"/>
          <w:bCs w:val="false"/>
          <w:color w:val="000000"/>
          <w:sz w:val="24"/>
          <w:szCs w:val="24"/>
        </w:rPr>
        <w:t xml:space="preserve">Raw anomaly flags are post-processed into four interpretable business categories based on which feature dimensions drive the anomaly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Trigger Conditions</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Business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High-Value Outlier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IForest score + Item_MRP in top quartile + Outlet_Type = Supermarket Type3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Premium product in highest-volume outlet generating anomalously high sales; potential promotional spike or assortment anomaly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Visibility Anomaly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 LOF score + Item_Visibility near zero after imputation + sales above median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Product with near-zero shelf presence generating above-median sales; may indicate data entry error or untracked promotional 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Outlet Structural Outlier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CBLOF score + Outlet_Identifier = OUT027 or OUT019 + consensus_score ≥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Outlet-level structural deviation; OUT027 (Supermarket Type3, mean sales 3,694) is the most frequently flagged outlet — its entire sales distribution sits above the dataset norm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Low-Demand Anomaly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 HBOS score + Item_MRP in top quartile + sales in bottom decile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High-priced item generating anomalously low sales; potential pricing mismatch, poor placement, or demand signal for delisting</w:t>
            </w:r>
          </w:p>
        </w:tc>
      </w:tr>
    </w:tbl>
    <w:p>
      <w:pPr>
        <w:spacing w:after="80"/>
      </w:pPr>
      <w:r>
        <w:t xml:space="preserve"/>
      </w:r>
    </w:p>
    <w:p>
      <w:pPr>
        <w:pStyle w:val="Heading2"/>
      </w:pPr>
      <w:r>
        <w:rPr>
          <w:rFonts w:ascii="Arial" w:cs="Arial" w:eastAsia="Arial" w:hAnsi="Arial"/>
          <w:b/>
          <w:bCs/>
        </w:rPr>
        <w:t xml:space="preserve">Key Findings</w:t>
      </w:r>
    </w:p>
    <w:p>
      <w:pPr>
        <w:pStyle w:val="ListParagraph"/>
        <w:numPr>
          <w:ilvl w:val="0"/>
          <w:numId w:val="2"/>
        </w:numPr>
        <w:spacing w:after="80"/>
      </w:pPr>
      <w:r>
        <w:rPr>
          <w:rFonts w:ascii="Arial" w:cs="Arial" w:eastAsia="Arial" w:hAnsi="Arial"/>
          <w:sz w:val="24"/>
          <w:szCs w:val="24"/>
        </w:rPr>
        <w:t xml:space="preserve">Total anomalies flagged (consensus_score ≥ 1): ~680 observations (~8% of training data)</w:t>
      </w:r>
    </w:p>
    <w:p>
      <w:pPr>
        <w:pStyle w:val="ListParagraph"/>
        <w:numPr>
          <w:ilvl w:val="0"/>
          <w:numId w:val="2"/>
        </w:numPr>
        <w:spacing w:after="80"/>
      </w:pPr>
      <w:r>
        <w:rPr>
          <w:rFonts w:ascii="Arial" w:cs="Arial" w:eastAsia="Arial" w:hAnsi="Arial"/>
          <w:sz w:val="24"/>
          <w:szCs w:val="24"/>
        </w:rPr>
        <w:t xml:space="preserve">High-confidence anomalies (consensus_score ≥ 3): ~210 observations (~2.5%)</w:t>
      </w:r>
    </w:p>
    <w:p>
      <w:pPr>
        <w:pStyle w:val="ListParagraph"/>
        <w:numPr>
          <w:ilvl w:val="0"/>
          <w:numId w:val="2"/>
        </w:numPr>
        <w:spacing w:after="80"/>
      </w:pPr>
      <w:r>
        <w:rPr>
          <w:rFonts w:ascii="Arial" w:cs="Arial" w:eastAsia="Arial" w:hAnsi="Arial"/>
          <w:sz w:val="24"/>
          <w:szCs w:val="24"/>
        </w:rPr>
        <w:t xml:space="preserve">OUT027 (Supermarket Type3) accounts for a disproportionate share of Outlet Structural Outliers — consistent with Welch t-test finding (mean sales 3,694 vs. dataset mean 2,181, p ~ 6e-83) and its independently flagged anomalous status in the PyOD notebook</w:t>
      </w:r>
    </w:p>
    <w:p>
      <w:pPr>
        <w:pStyle w:val="ListParagraph"/>
        <w:numPr>
          <w:ilvl w:val="0"/>
          <w:numId w:val="2"/>
        </w:numPr>
        <w:spacing w:after="80"/>
      </w:pPr>
      <w:r>
        <w:rPr>
          <w:rFonts w:ascii="Arial" w:cs="Arial" w:eastAsia="Arial" w:hAnsi="Arial"/>
          <w:sz w:val="24"/>
          <w:szCs w:val="24"/>
        </w:rPr>
        <w:t xml:space="preserve">The majority of Visibility Anomalies cluster in Grocery Store outlets, consistent with the negative Item_Visibility – sales correlation (r = −0.087) identified in the main notebook: grocery staples have low shelf visibility but stable demand</w:t>
      </w:r>
    </w:p>
    <w:p>
      <w:pPr>
        <w:pStyle w:val="ListParagraph"/>
        <w:numPr>
          <w:ilvl w:val="0"/>
          <w:numId w:val="2"/>
        </w:numPr>
        <w:spacing w:after="80"/>
      </w:pPr>
      <w:r>
        <w:rPr>
          <w:rFonts w:ascii="Arial" w:cs="Arial" w:eastAsia="Arial" w:hAnsi="Arial"/>
          <w:sz w:val="24"/>
          <w:szCs w:val="24"/>
        </w:rPr>
        <w:t xml:space="preserve">Low-Demand Anomalies are concentrated in Hard Drinks and Seafood categories — high-MRP items that show weak sales in lower-tier outlets (Tier 3), suggesting outlet-product assortment mismatch</w:t>
      </w:r>
    </w:p>
    <w:p>
      <w:pPr>
        <w:pStyle w:val="ListParagraph"/>
        <w:numPr>
          <w:ilvl w:val="0"/>
          <w:numId w:val="2"/>
        </w:numPr>
        <w:spacing w:after="80"/>
      </w:pPr>
      <w:r>
        <w:rPr>
          <w:rFonts w:ascii="Arial" w:cs="Arial" w:eastAsia="Arial" w:hAnsi="Arial"/>
          <w:sz w:val="24"/>
          <w:szCs w:val="24"/>
        </w:rPr>
        <w:t xml:space="preserve">Algorithm agreement: IForest and CBLOF agree on ~78% of high-confidence anomalies; LOF identifies an additional ~12% of contextual outliers missed by density-insensitive methods</w:t>
      </w:r>
    </w:p>
    <w:p>
      <w:pPr>
        <w:spacing w:after="80"/>
      </w:pPr>
      <w:r>
        <w:t xml:space="preserve"/>
      </w:r>
    </w:p>
    <w:p>
      <w:pPr>
        <w:pStyle w:val="Heading2"/>
      </w:pPr>
      <w:r>
        <w:rPr>
          <w:rFonts w:ascii="Arial" w:cs="Arial" w:eastAsia="Arial" w:hAnsi="Arial"/>
          <w:b/>
          <w:bCs/>
        </w:rPr>
        <w:t xml:space="preserve">Connection to Regression Residuals</w:t>
      </w:r>
    </w:p>
    <w:p>
      <w:pPr>
        <w:spacing w:after="120"/>
        <w:jc w:val="left"/>
      </w:pPr>
      <w:r>
        <w:rPr>
          <w:rFonts w:ascii="Arial" w:cs="Arial" w:eastAsia="Arial" w:hAnsi="Arial"/>
          <w:b w:val="false"/>
          <w:bCs w:val="false"/>
          <w:color w:val="000000"/>
          <w:sz w:val="24"/>
          <w:szCs w:val="24"/>
        </w:rPr>
        <w:t xml:space="preserve">Anomaly detection and regression residuals are complementary but not equivalent. A record can be:</w:t>
      </w:r>
    </w:p>
    <w:p>
      <w:pPr>
        <w:pStyle w:val="ListParagraph"/>
        <w:numPr>
          <w:ilvl w:val="0"/>
          <w:numId w:val="2"/>
        </w:numPr>
        <w:spacing w:after="80"/>
      </w:pPr>
      <w:r>
        <w:rPr>
          <w:rFonts w:ascii="Arial" w:cs="Arial" w:eastAsia="Arial" w:hAnsi="Arial"/>
          <w:sz w:val="24"/>
          <w:szCs w:val="24"/>
        </w:rPr>
        <w:t xml:space="preserve">High residual + low anomaly score: the model understands the feature profile but fails to predict the sales magnitude (common for OUT027 high-value items)</w:t>
      </w:r>
    </w:p>
    <w:p>
      <w:pPr>
        <w:pStyle w:val="ListParagraph"/>
        <w:numPr>
          <w:ilvl w:val="0"/>
          <w:numId w:val="2"/>
        </w:numPr>
        <w:spacing w:after="80"/>
      </w:pPr>
      <w:r>
        <w:rPr>
          <w:rFonts w:ascii="Arial" w:cs="Arial" w:eastAsia="Arial" w:hAnsi="Arial"/>
          <w:sz w:val="24"/>
          <w:szCs w:val="24"/>
        </w:rPr>
        <w:t xml:space="preserve">Low residual + high anomaly score: the model happens to predict correctly despite the observation being structurally unusual (e.g., a visibility anomaly where the model’s imputed value coincidentally matches actual behavior)</w:t>
      </w:r>
    </w:p>
    <w:p>
      <w:pPr>
        <w:pStyle w:val="ListParagraph"/>
        <w:numPr>
          <w:ilvl w:val="0"/>
          <w:numId w:val="2"/>
        </w:numPr>
        <w:spacing w:after="80"/>
      </w:pPr>
      <w:r>
        <w:rPr>
          <w:rFonts w:ascii="Arial" w:cs="Arial" w:eastAsia="Arial" w:hAnsi="Arial"/>
          <w:sz w:val="24"/>
          <w:szCs w:val="24"/>
        </w:rPr>
        <w:t xml:space="preserve">High residual + high anomaly score: the most actionable category — observations the model both fails on and that PyOD flags as structurally deviant; these are prime candidates for manual review or separate sub-models</w:t>
      </w:r>
    </w:p>
    <w:p>
      <w:pPr>
        <w:spacing w:after="80"/>
      </w:pPr>
      <w:r>
        <w:t xml:space="preserve"/>
      </w:r>
    </w:p>
    <w:p>
      <w:pPr>
        <w:spacing w:after="120"/>
        <w:jc w:val="left"/>
      </w:pPr>
      <w:r>
        <w:rPr>
          <w:rFonts w:ascii="Arial" w:cs="Arial" w:eastAsia="Arial" w:hAnsi="Arial"/>
          <w:b w:val="false"/>
          <w:bCs w:val="false"/>
          <w:color w:val="000000"/>
          <w:sz w:val="24"/>
          <w:szCs w:val="24"/>
        </w:rPr>
        <w:t xml:space="preserve">The decile residual plot from the main notebook (bias concentrating in deciles 9–10) and the PyOD Outlet Structural Outlier category (OUT027 dominating high-confidence flags) describe the same phenomenon from two different analytical angles, providing mutual validation.</w:t>
      </w:r>
    </w:p>
    <w:p>
      <w:pPr>
        <w:spacing w:after="80"/>
      </w:pPr>
      <w:r>
        <w:t xml:space="preserve"/>
      </w:r>
    </w:p>
    <w:p>
      <w:pPr>
        <w:pStyle w:val="Heading1"/>
      </w:pPr>
      <w:r>
        <w:rPr>
          <w:rFonts w:ascii="Arial" w:cs="Arial" w:eastAsia="Arial" w:hAnsi="Arial"/>
          <w:b/>
          <w:bCs/>
        </w:rPr>
        <w:t xml:space="preserve">Results and Analysis</w:t>
      </w:r>
    </w:p>
    <w:p>
      <w:pPr>
        <w:pStyle w:val="Heading2"/>
      </w:pPr>
      <w:r>
        <w:rPr>
          <w:rFonts w:ascii="Arial" w:cs="Arial" w:eastAsia="Arial" w:hAnsi="Arial"/>
          <w:b/>
          <w:bCs/>
        </w:rPr>
        <w:t xml:space="preserve">Model Performance Comparison (Table 1)</w:t>
      </w:r>
    </w:p>
    <w:p>
      <w:pPr>
        <w:spacing w:after="120"/>
        <w:jc w:val="left"/>
      </w:pPr>
      <w:r>
        <w:rPr>
          <w:rFonts w:ascii="Arial" w:cs="Arial" w:eastAsia="Arial" w:hAnsi="Arial"/>
          <w:b w:val="false"/>
          <w:bCs w:val="false"/>
          <w:color w:val="000000"/>
          <w:sz w:val="24"/>
          <w:szCs w:val="24"/>
        </w:rPr>
        <w:t xml:space="preserve">All metrics reported on the log scale. CV metrics from 5-fold cross-validation on X_cv_train; Holdout metrics from single evaluation on X_holdout (never seen during CV or tuning).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90"/>
        <w:gridCol w:w="1290"/>
        <w:gridCol w:w="1290"/>
        <w:gridCol w:w="1290"/>
        <w:gridCol w:w="1300"/>
        <w:gridCol w:w="17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12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CV RMSE mean</w:t>
            </w:r>
          </w:p>
        </w:tc>
        <w:tc>
          <w:tcPr>
            <w:tcW w:type="dxa" w:w="12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Holdout RMSE</w:t>
            </w:r>
          </w:p>
        </w:tc>
        <w:tc>
          <w:tcPr>
            <w:tcW w:type="dxa" w:w="12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CV R² mean</w:t>
            </w:r>
          </w:p>
        </w:tc>
        <w:tc>
          <w:tcPr>
            <w:tcW w:type="dxa" w:w="12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Holdout R²</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CV RMSE std</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CV MAE mean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Bagging (tuned GBR)</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0.523</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0.519</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0.735</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0.738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0.405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Gradient Boosting</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0.524</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0.520</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0.735</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0.737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0.015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0.406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Forest</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0.549</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0.539</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0.709</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0.717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0.431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AdaBoost</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0.560</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0.560</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0.697</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0.695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0.022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0.442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Ridge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0.648</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0.640</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0.594</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0.510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Linear Regression</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0.648</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0.640</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0.594</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0.601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0.016</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0.510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Tree</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0.752</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0.741</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0.453</w:t>
            </w:r>
          </w:p>
        </w:tc>
        <w:tc>
          <w:tcPr>
            <w:tcW w:type="dxa" w:w="1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0.031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0.578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Lasso*</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1.018*</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1.014*</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-0.001*</w:t>
            </w:r>
          </w:p>
        </w:tc>
        <w:tc>
          <w:tcPr>
            <w:tcW w:type="dxa" w:w="12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-0.000*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0.012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w:t>
            </w:r>
          </w:p>
        </w:tc>
      </w:tr>
    </w:tbl>
    <w:p>
      <w:pPr>
        <w:spacing w:after="80"/>
      </w:pPr>
      <w:r>
        <w:t xml:space="preserve"/>
      </w:r>
    </w:p>
    <w:p>
      <w:pPr>
        <w:spacing w:after="120"/>
        <w:jc w:val="left"/>
      </w:pPr>
      <w:r>
        <w:rPr>
          <w:rFonts w:ascii="Arial" w:cs="Arial" w:eastAsia="Arial" w:hAnsi="Arial"/>
          <w:b w:val="false"/>
          <w:bCs w:val="false"/>
          <w:color w:val="000000"/>
          <w:sz w:val="24"/>
          <w:szCs w:val="24"/>
        </w:rPr>
        <w:t xml:space="preserve">* Lasso RMSE ~1.018 and R² ~ −0.001: alpha=1.0 penalty dominates log-scale residuals, zeroing all coefficients. Not a valid comparison entry at this alpha.</w:t>
      </w:r>
    </w:p>
    <w:p>
      <w:pPr>
        <w:spacing w:after="80"/>
      </w:pPr>
      <w:r>
        <w:t xml:space="preserve"/>
      </w:r>
    </w:p>
    <w:p>
      <w:pPr>
        <w:pStyle w:val="Heading2"/>
      </w:pPr>
      <w:r>
        <w:rPr>
          <w:rFonts w:ascii="Arial" w:cs="Arial" w:eastAsia="Arial" w:hAnsi="Arial"/>
          <w:b/>
          <w:bCs/>
        </w:rPr>
        <w:t xml:space="preserve">Final Model Performance</w:t>
      </w:r>
    </w:p>
    <w:p>
      <w:pPr>
        <w:pStyle w:val="ListParagraph"/>
        <w:numPr>
          <w:ilvl w:val="0"/>
          <w:numId w:val="2"/>
        </w:numPr>
        <w:spacing w:after="80"/>
      </w:pPr>
      <w:r>
        <w:rPr>
          <w:rFonts w:ascii="Arial" w:cs="Arial" w:eastAsia="Arial" w:hAnsi="Arial"/>
          <w:sz w:val="24"/>
          <w:szCs w:val="24"/>
        </w:rPr>
        <w:t xml:space="preserve">CV RMSE: 0.524 ± 0.016  |  OOF RMSE: 0.524  |  CV R²: 0.735 ± 0.02</w:t>
      </w:r>
    </w:p>
    <w:p>
      <w:pPr>
        <w:pStyle w:val="ListParagraph"/>
        <w:numPr>
          <w:ilvl w:val="0"/>
          <w:numId w:val="2"/>
        </w:numPr>
        <w:spacing w:after="80"/>
      </w:pPr>
      <w:r>
        <w:rPr>
          <w:rFonts w:ascii="Arial" w:cs="Arial" w:eastAsia="Arial" w:hAnsi="Arial"/>
          <w:sz w:val="24"/>
          <w:szCs w:val="24"/>
        </w:rPr>
        <w:t xml:space="preserve">Holdout RMSE: 0.519  |  Holdout MAE: 0.400  |  Holdout R²: 0.738</w:t>
      </w:r>
    </w:p>
    <w:p>
      <w:pPr>
        <w:pStyle w:val="ListParagraph"/>
        <w:numPr>
          <w:ilvl w:val="0"/>
          <w:numId w:val="2"/>
        </w:numPr>
        <w:spacing w:after="80"/>
      </w:pPr>
      <w:r>
        <w:rPr>
          <w:rFonts w:ascii="Arial" w:cs="Arial" w:eastAsia="Arial" w:hAnsi="Arial"/>
          <w:sz w:val="24"/>
          <w:szCs w:val="24"/>
        </w:rPr>
        <w:t xml:space="preserve">All holdout metrics fall within one CV std band — no leakage, no overfitting signal</w:t>
      </w:r>
    </w:p>
    <w:p>
      <w:pPr>
        <w:pStyle w:val="ListParagraph"/>
        <w:numPr>
          <w:ilvl w:val="0"/>
          <w:numId w:val="2"/>
        </w:numPr>
        <w:spacing w:after="80"/>
      </w:pPr>
      <w:r>
        <w:rPr>
          <w:rFonts w:ascii="Arial" w:cs="Arial" w:eastAsia="Arial" w:hAnsi="Arial"/>
          <w:sz w:val="24"/>
          <w:szCs w:val="24"/>
        </w:rPr>
        <w:t xml:space="preserve">OOF RMSE matches RMSE_mean exactly (0.524 = 0.524) — confirms CV estimate is unbiased</w:t>
      </w:r>
    </w:p>
    <w:p>
      <w:pPr>
        <w:pStyle w:val="ListParagraph"/>
        <w:numPr>
          <w:ilvl w:val="0"/>
          <w:numId w:val="2"/>
        </w:numPr>
        <w:spacing w:after="80"/>
      </w:pPr>
      <w:r>
        <w:rPr>
          <w:rFonts w:ascii="Arial" w:cs="Arial" w:eastAsia="Arial" w:hAnsi="Arial"/>
          <w:sz w:val="24"/>
          <w:szCs w:val="24"/>
        </w:rPr>
        <w:t xml:space="preserve">Final predictions (real scale, post-smearing): count 5,681  |  min 84.34 (no negatives)  |  mean ~1,944</w:t>
      </w:r>
    </w:p>
    <w:p>
      <w:pPr>
        <w:spacing w:after="80"/>
      </w:pPr>
      <w:r>
        <w:t xml:space="preserve"/>
      </w:r>
    </w:p>
    <w:p>
      <w:pPr>
        <w:pStyle w:val="Heading2"/>
      </w:pPr>
      <w:r>
        <w:rPr>
          <w:rFonts w:ascii="Arial" w:cs="Arial" w:eastAsia="Arial" w:hAnsi="Arial"/>
          <w:b/>
          <w:bCs/>
        </w:rPr>
        <w:t xml:space="preserve">Residual Diagnostics</w:t>
      </w:r>
    </w:p>
    <w:p>
      <w:pPr>
        <w:spacing w:after="120"/>
        <w:jc w:val="left"/>
      </w:pPr>
      <w:r>
        <w:rPr>
          <w:rFonts w:ascii="Arial" w:cs="Arial" w:eastAsia="Arial" w:hAnsi="Arial"/>
          <w:b w:val="false"/>
          <w:bCs w:val="false"/>
          <w:color w:val="000000"/>
          <w:sz w:val="24"/>
          <w:szCs w:val="24"/>
        </w:rPr>
        <w:t xml:space="preserve">Residual analysis was performed on the untouched holdout set using a model fit only on X_cv_train:</w:t>
      </w:r>
    </w:p>
    <w:p>
      <w:pPr>
        <w:pStyle w:val="ListParagraph"/>
        <w:numPr>
          <w:ilvl w:val="0"/>
          <w:numId w:val="2"/>
        </w:numPr>
        <w:spacing w:after="80"/>
      </w:pPr>
      <w:r>
        <w:rPr>
          <w:rFonts w:ascii="Arial" w:cs="Arial" w:eastAsia="Arial" w:hAnsi="Arial"/>
          <w:sz w:val="24"/>
          <w:szCs w:val="24"/>
        </w:rPr>
        <w:t xml:space="preserve">Actual-vs-predicted scatter tracks the 45° reference line with expected fan-out at high sales values</w:t>
      </w:r>
    </w:p>
    <w:p>
      <w:pPr>
        <w:pStyle w:val="ListParagraph"/>
        <w:numPr>
          <w:ilvl w:val="0"/>
          <w:numId w:val="2"/>
        </w:numPr>
        <w:spacing w:after="80"/>
      </w:pPr>
      <w:r>
        <w:rPr>
          <w:rFonts w:ascii="Arial" w:cs="Arial" w:eastAsia="Arial" w:hAnsi="Arial"/>
          <w:sz w:val="24"/>
          <w:szCs w:val="24"/>
        </w:rPr>
        <w:t xml:space="preserve">Log-scale residual distribution is approximately centered at zero with a mild right tail — no catastrophic mispredictions</w:t>
      </w:r>
    </w:p>
    <w:p>
      <w:pPr>
        <w:pStyle w:val="ListParagraph"/>
        <w:numPr>
          <w:ilvl w:val="0"/>
          <w:numId w:val="2"/>
        </w:numPr>
        <w:spacing w:after="80"/>
      </w:pPr>
      <w:r>
        <w:rPr>
          <w:rFonts w:ascii="Arial" w:cs="Arial" w:eastAsia="Arial" w:hAnsi="Arial"/>
          <w:sz w:val="24"/>
          <w:szCs w:val="24"/>
        </w:rPr>
        <w:t xml:space="preserve">Decile plot confirms bias concentrates in deciles 9–10 (highest actual sales) — the expected Jensen’s inequality signature, partially corrected by smearing</w:t>
      </w:r>
    </w:p>
    <w:p>
      <w:pPr>
        <w:pStyle w:val="ListParagraph"/>
        <w:numPr>
          <w:ilvl w:val="0"/>
          <w:numId w:val="2"/>
        </w:numPr>
        <w:spacing w:after="80"/>
      </w:pPr>
      <w:r>
        <w:rPr>
          <w:rFonts w:ascii="Arial" w:cs="Arial" w:eastAsia="Arial" w:hAnsi="Arial"/>
          <w:sz w:val="24"/>
          <w:szCs w:val="24"/>
        </w:rPr>
        <w:t xml:space="preserve">Outlet_Type boxplots: all four outlet types centered near zero; Supermarket Type3 has widest IQR (~3,000 upper whisker) consistent with OUT027 being the highest-volume outlet (mean sales 3,694 vs. dataset mean 2,181); Grocery Store has tightest box</w:t>
      </w:r>
    </w:p>
    <w:p>
      <w:pPr>
        <w:pStyle w:val="ListParagraph"/>
        <w:numPr>
          <w:ilvl w:val="0"/>
          <w:numId w:val="2"/>
        </w:numPr>
        <w:spacing w:after="80"/>
      </w:pPr>
      <w:r>
        <w:rPr>
          <w:rFonts w:ascii="Arial" w:cs="Arial" w:eastAsia="Arial" w:hAnsi="Arial"/>
          <w:sz w:val="24"/>
          <w:szCs w:val="24"/>
        </w:rPr>
        <w:t xml:space="preserve">Item_Type boxplots: no category shows consistent directional bias, confirming weak ANOVA F-statistic (F=2.15) finding; Hard Drinks has widest upper whisker; Starchy Foods has most negative lower whisker; Household and Frozen Foods are most tightly predicted</w:t>
      </w:r>
    </w:p>
    <w:p>
      <w:pPr>
        <w:spacing w:after="80"/>
      </w:pPr>
      <w:r>
        <w:t xml:space="preserve"/>
      </w:r>
    </w:p>
    <w:p>
      <w:pPr>
        <w:pStyle w:val="Heading2"/>
      </w:pPr>
      <w:r>
        <w:rPr>
          <w:rFonts w:ascii="Arial" w:cs="Arial" w:eastAsia="Arial" w:hAnsi="Arial"/>
          <w:b/>
          <w:bCs/>
        </w:rPr>
        <w:t xml:space="preserve">PyOD Anomaly Detection Summary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Anomaly Category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of Training</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Primary Drivers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High-Value Outlier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Item_MRP top quartile + Supermarket Type3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Visibility Anomaly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Near-zero visibility + above-median sales (Grocery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Outlet Structural Outlier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OUT027 (Type3) + OUT019 — full outlet distribution above norm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Low-Demand Anomaly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~0.8%</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 MRP + bottom decile sales (Hard Drinks, Seafood, Tier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High-Confidence (score ≥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Consensus across ≥ 3 of 5 PyOD algorithms</w:t>
            </w:r>
          </w:p>
        </w:tc>
      </w:tr>
    </w:tbl>
    <w:p>
      <w:pPr>
        <w:spacing w:after="80"/>
      </w:pPr>
      <w:r>
        <w:t xml:space="preserve"/>
      </w:r>
    </w:p>
    <w:p>
      <w:pPr>
        <w:pStyle w:val="Heading1"/>
      </w:pPr>
      <w:r>
        <w:rPr>
          <w:rFonts w:ascii="Arial" w:cs="Arial" w:eastAsia="Arial" w:hAnsi="Arial"/>
          <w:b/>
          <w:bCs/>
        </w:rPr>
        <w:t xml:space="preserve">Discussion</w:t>
      </w:r>
    </w:p>
    <w:p>
      <w:pPr>
        <w:spacing w:after="120"/>
        <w:jc w:val="left"/>
      </w:pPr>
      <w:r>
        <w:rPr>
          <w:rFonts w:ascii="Arial" w:cs="Arial" w:eastAsia="Arial" w:hAnsi="Arial"/>
          <w:b w:val="false"/>
          <w:bCs w:val="false"/>
          <w:color w:val="000000"/>
          <w:sz w:val="24"/>
          <w:szCs w:val="24"/>
        </w:rPr>
        <w:t xml:space="preserve">Bagging and Gradient Boosting are statistically indistinguishable at this dataset size (CV RMSE 0.523 vs. 0.524, well within one std). Bagging was retained as the final model for marginal variance reduction. Hyperparameter tuning produced no measurable improvement over sklearn defaults in three separate tuning sessions — the grid search cost was not justified by outcome.</w:t>
      </w:r>
    </w:p>
    <w:p>
      <w:pPr>
        <w:spacing w:after="80"/>
      </w:pPr>
      <w:r>
        <w:t xml:space="preserve"/>
      </w:r>
    </w:p>
    <w:p>
      <w:pPr>
        <w:spacing w:after="120"/>
        <w:jc w:val="left"/>
      </w:pPr>
      <w:r>
        <w:rPr>
          <w:rFonts w:ascii="Arial" w:cs="Arial" w:eastAsia="Arial" w:hAnsi="Arial"/>
          <w:b w:val="false"/>
          <w:bCs w:val="false"/>
          <w:color w:val="000000"/>
          <w:sz w:val="24"/>
          <w:szCs w:val="24"/>
        </w:rPr>
        <w:t xml:space="preserve">The pipeline reorder from Milestone 1 (split-first, train-only fitting throughout) validated the same dedup drop list as the original notebook, confirming the underlying statistical structure was preserved and only the correctness of computation changed. The Outlet_Type merge (Supermarket Type2 → Type3) from Milestone 1 was reverted: OUT018 mean sales 1,995 vs. OUT027 mean sales 3,694 (Welch t-test p ~ 6e-83). Composition similarity in EDA crosstabs did not extend to sales.</w:t>
      </w:r>
    </w:p>
    <w:p>
      <w:pPr>
        <w:spacing w:after="80"/>
      </w:pPr>
      <w:r>
        <w:t xml:space="preserve"/>
      </w:r>
    </w:p>
    <w:p>
      <w:pPr>
        <w:spacing w:after="120"/>
        <w:jc w:val="left"/>
      </w:pPr>
      <w:r>
        <w:rPr>
          <w:rFonts w:ascii="Arial" w:cs="Arial" w:eastAsia="Arial" w:hAnsi="Arial"/>
          <w:b w:val="false"/>
          <w:bCs w:val="false"/>
          <w:color w:val="000000"/>
          <w:sz w:val="24"/>
          <w:szCs w:val="24"/>
        </w:rPr>
        <w:t xml:space="preserve">The PyOD module provides a layer of analysis that the regression model cannot: it identifies which observations are structurally unusual regardless of prediction accuracy. The convergence of PyOD’s Outlet Structural Outlier category with the regression residual decile plot — both pointing to OUT027 as the primary source of high-end underprediction — provides mutual validation across two independent analytical methods. This convergence also suggests that a separate sub-model trained exclusively on Supermarket Type3 data may reduce overall RMSE more effectively than further tuning of the global model.</w:t>
      </w:r>
    </w:p>
    <w:p>
      <w:pPr>
        <w:spacing w:after="80"/>
      </w:pPr>
      <w:r>
        <w:t xml:space="preserve"/>
      </w:r>
    </w:p>
    <w:p>
      <w:pPr>
        <w:pStyle w:val="Heading1"/>
      </w:pPr>
      <w:r>
        <w:rPr>
          <w:rFonts w:ascii="Arial" w:cs="Arial" w:eastAsia="Arial" w:hAnsi="Arial"/>
          <w:b/>
          <w:bCs/>
        </w:rPr>
        <w:t xml:space="preserve">Assumptions</w:t>
      </w:r>
    </w:p>
    <w:p>
      <w:pPr>
        <w:pStyle w:val="ListParagraph"/>
        <w:numPr>
          <w:ilvl w:val="0"/>
          <w:numId w:val="2"/>
        </w:numPr>
        <w:spacing w:after="80"/>
      </w:pPr>
      <w:r>
        <w:rPr>
          <w:rFonts w:ascii="Arial" w:cs="Arial" w:eastAsia="Arial" w:hAnsi="Arial"/>
          <w:sz w:val="24"/>
          <w:szCs w:val="24"/>
        </w:rPr>
        <w:t xml:space="preserve">Item_Visibility zeros are physiologically implausible and treated as missing data artifacts, replaced with NaN before imputation</w:t>
      </w:r>
    </w:p>
    <w:p>
      <w:pPr>
        <w:pStyle w:val="ListParagraph"/>
        <w:numPr>
          <w:ilvl w:val="0"/>
          <w:numId w:val="2"/>
        </w:numPr>
        <w:spacing w:after="80"/>
      </w:pPr>
      <w:r>
        <w:rPr>
          <w:rFonts w:ascii="Arial" w:cs="Arial" w:eastAsia="Arial" w:hAnsi="Arial"/>
          <w:sz w:val="24"/>
          <w:szCs w:val="24"/>
        </w:rPr>
        <w:t xml:space="preserve">Outlet_Size Unknown values map to Small based on crosstab evidence; this is a judgment call informed by training data observation, not a fitted statistic</w:t>
      </w:r>
    </w:p>
    <w:p>
      <w:pPr>
        <w:pStyle w:val="ListParagraph"/>
        <w:numPr>
          <w:ilvl w:val="0"/>
          <w:numId w:val="2"/>
        </w:numPr>
        <w:spacing w:after="80"/>
      </w:pPr>
      <w:r>
        <w:rPr>
          <w:rFonts w:ascii="Arial" w:cs="Arial" w:eastAsia="Arial" w:hAnsi="Arial"/>
          <w:sz w:val="24"/>
          <w:szCs w:val="24"/>
        </w:rPr>
        <w:t xml:space="preserve">Calorie values per Item_Type are domain constants applied uniformly within each category; non-consumable and unmapped types receive zero, creating structural zeros for ~20% of items</w:t>
      </w:r>
    </w:p>
    <w:p>
      <w:pPr>
        <w:pStyle w:val="ListParagraph"/>
        <w:numPr>
          <w:ilvl w:val="0"/>
          <w:numId w:val="2"/>
        </w:numPr>
        <w:spacing w:after="80"/>
      </w:pPr>
      <w:r>
        <w:rPr>
          <w:rFonts w:ascii="Arial" w:cs="Arial" w:eastAsia="Arial" w:hAnsi="Arial"/>
          <w:sz w:val="24"/>
          <w:szCs w:val="24"/>
        </w:rPr>
        <w:t xml:space="preserve">y_train is log(Item_Outlet_Sales); all CV/holdout metrics are on the log scale; raw-scale interpretation requires exp() back-transformation with smearing correction</w:t>
      </w:r>
    </w:p>
    <w:p>
      <w:pPr>
        <w:pStyle w:val="ListParagraph"/>
        <w:numPr>
          <w:ilvl w:val="0"/>
          <w:numId w:val="2"/>
        </w:numPr>
        <w:spacing w:after="80"/>
      </w:pPr>
      <w:r>
        <w:rPr>
          <w:rFonts w:ascii="Arial" w:cs="Arial" w:eastAsia="Arial" w:hAnsi="Arial"/>
          <w:sz w:val="24"/>
          <w:szCs w:val="24"/>
        </w:rPr>
        <w:t xml:space="preserve">PyOD contamination rate is set at 5% (a standard default); the true proportion of anomalous observations in this retail dataset is unknown and the 5% rate is a modeling assumption, not an empirically validated estimate</w:t>
      </w:r>
    </w:p>
    <w:p>
      <w:pPr>
        <w:pStyle w:val="ListParagraph"/>
        <w:numPr>
          <w:ilvl w:val="0"/>
          <w:numId w:val="2"/>
        </w:numPr>
        <w:spacing w:after="80"/>
      </w:pPr>
      <w:r>
        <w:rPr>
          <w:rFonts w:ascii="Arial" w:cs="Arial" w:eastAsia="Arial" w:hAnsi="Arial"/>
          <w:sz w:val="24"/>
          <w:szCs w:val="24"/>
        </w:rPr>
        <w:t xml:space="preserve">PyOD consensus scoring (flagging at ≥ 3 of 5 algorithms) is a conservative threshold; borderline anomalies (score 1–2) are real but lower-priority</w:t>
      </w:r>
    </w:p>
    <w:p>
      <w:pPr>
        <w:spacing w:after="80"/>
      </w:pPr>
      <w:r>
        <w:t xml:space="preserve"/>
      </w:r>
    </w:p>
    <w:p>
      <w:pPr>
        <w:pStyle w:val="Heading1"/>
      </w:pPr>
      <w:r>
        <w:rPr>
          <w:rFonts w:ascii="Arial" w:cs="Arial" w:eastAsia="Arial" w:hAnsi="Arial"/>
          <w:b/>
          <w:bCs/>
        </w:rPr>
        <w:t xml:space="preserve">Limitations</w:t>
      </w:r>
    </w:p>
    <w:p>
      <w:pPr>
        <w:pStyle w:val="ListParagraph"/>
        <w:numPr>
          <w:ilvl w:val="0"/>
          <w:numId w:val="2"/>
        </w:numPr>
        <w:spacing w:after="80"/>
      </w:pPr>
      <w:r>
        <w:rPr>
          <w:rFonts w:ascii="Arial" w:cs="Arial" w:eastAsia="Arial" w:hAnsi="Arial"/>
          <w:sz w:val="24"/>
          <w:szCs w:val="24"/>
        </w:rPr>
        <w:t xml:space="preserve">Lasso is scale-sensitive and broken at alpha=1.0 on the log scale (RMSE 1.018, R² ~ 0). Needs LassoCV or a properly tuned alpha to be a fair comparison entry</w:t>
      </w:r>
    </w:p>
    <w:p>
      <w:pPr>
        <w:pStyle w:val="ListParagraph"/>
        <w:numPr>
          <w:ilvl w:val="0"/>
          <w:numId w:val="2"/>
        </w:numPr>
        <w:spacing w:after="80"/>
      </w:pPr>
      <w:r>
        <w:rPr>
          <w:rFonts w:ascii="Arial" w:cs="Arial" w:eastAsia="Arial" w:hAnsi="Arial"/>
          <w:sz w:val="24"/>
          <w:szCs w:val="24"/>
        </w:rPr>
        <w:t xml:space="preserve">Bagging n_estimators fixed at 5. No sweep over 10–50 was performed; n_estimators=5 is too low for stable variance reduction</w:t>
      </w:r>
    </w:p>
    <w:p>
      <w:pPr>
        <w:pStyle w:val="ListParagraph"/>
        <w:numPr>
          <w:ilvl w:val="0"/>
          <w:numId w:val="2"/>
        </w:numPr>
        <w:spacing w:after="80"/>
      </w:pPr>
      <w:r>
        <w:rPr>
          <w:rFonts w:ascii="Arial" w:cs="Arial" w:eastAsia="Arial" w:hAnsi="Arial"/>
          <w:sz w:val="24"/>
          <w:szCs w:val="24"/>
        </w:rPr>
        <w:t xml:space="preserve">GradientBoosting tuning produced no improvement across three sessions — the grid did not include learning_rate and n_estimators jointly, which is the most impactful parameter interaction for GBR</w:t>
      </w:r>
    </w:p>
    <w:p>
      <w:pPr>
        <w:pStyle w:val="ListParagraph"/>
        <w:numPr>
          <w:ilvl w:val="0"/>
          <w:numId w:val="2"/>
        </w:numPr>
        <w:spacing w:after="80"/>
      </w:pPr>
      <w:r>
        <w:rPr>
          <w:rFonts w:ascii="Arial" w:cs="Arial" w:eastAsia="Arial" w:hAnsi="Arial"/>
          <w:sz w:val="24"/>
          <w:szCs w:val="24"/>
        </w:rPr>
        <w:t xml:space="preserve">Item_Visibility has a small but real negative correlation with sales (r = −0.087, p = 4.9e⁲13) after imputation bug correction — counterintuitive and unexplained</w:t>
      </w:r>
    </w:p>
    <w:p>
      <w:pPr>
        <w:pStyle w:val="ListParagraph"/>
        <w:numPr>
          <w:ilvl w:val="0"/>
          <w:numId w:val="2"/>
        </w:numPr>
        <w:spacing w:after="80"/>
      </w:pPr>
      <w:r>
        <w:rPr>
          <w:rFonts w:ascii="Arial" w:cs="Arial" w:eastAsia="Arial" w:hAnsi="Arial"/>
          <w:sz w:val="24"/>
          <w:szCs w:val="24"/>
        </w:rPr>
        <w:t xml:space="preserve">log_Calorie is computed via np.sqrt(), not np.log() — naming inconsistency, not yet corrected</w:t>
      </w:r>
    </w:p>
    <w:p>
      <w:pPr>
        <w:pStyle w:val="ListParagraph"/>
        <w:numPr>
          <w:ilvl w:val="0"/>
          <w:numId w:val="2"/>
        </w:numPr>
        <w:spacing w:after="80"/>
      </w:pPr>
      <w:r>
        <w:rPr>
          <w:rFonts w:ascii="Arial" w:cs="Arial" w:eastAsia="Arial" w:hAnsi="Arial"/>
          <w:sz w:val="24"/>
          <w:szCs w:val="24"/>
        </w:rPr>
        <w:t xml:space="preserve">All regression metrics are on the log scale; RMSE 0.524 translates to approximately ±40% error on mid-range sales (~2,000 units) in original currency units</w:t>
      </w:r>
    </w:p>
    <w:p>
      <w:pPr>
        <w:pStyle w:val="ListParagraph"/>
        <w:numPr>
          <w:ilvl w:val="0"/>
          <w:numId w:val="2"/>
        </w:numPr>
        <w:spacing w:after="80"/>
      </w:pPr>
      <w:r>
        <w:rPr>
          <w:rFonts w:ascii="Arial" w:cs="Arial" w:eastAsia="Arial" w:hAnsi="Arial"/>
          <w:sz w:val="24"/>
          <w:szCs w:val="24"/>
        </w:rPr>
        <w:t xml:space="preserve">PyOD anomaly categories are rule-based post-hoc classifications applied to raw anomaly scores; the category boundaries are heuristic and have not been validated against ground-truth labels (none exist for this dataset)</w:t>
      </w:r>
    </w:p>
    <w:p>
      <w:pPr>
        <w:pStyle w:val="ListParagraph"/>
        <w:numPr>
          <w:ilvl w:val="0"/>
          <w:numId w:val="2"/>
        </w:numPr>
        <w:spacing w:after="80"/>
      </w:pPr>
      <w:r>
        <w:rPr>
          <w:rFonts w:ascii="Arial" w:cs="Arial" w:eastAsia="Arial" w:hAnsi="Arial"/>
          <w:sz w:val="24"/>
          <w:szCs w:val="24"/>
        </w:rPr>
        <w:t xml:space="preserve">Dataset is a single-year snapshot (2013); temporal drift, new outlet openings, and assortment changes are not captured</w:t>
      </w:r>
    </w:p>
    <w:p>
      <w:pPr>
        <w:spacing w:after="80"/>
      </w:pPr>
      <w:r>
        <w:t xml:space="preserve"/>
      </w:r>
    </w:p>
    <w:p>
      <w:pPr>
        <w:pStyle w:val="Heading1"/>
      </w:pPr>
      <w:r>
        <w:rPr>
          <w:rFonts w:ascii="Arial" w:cs="Arial" w:eastAsia="Arial" w:hAnsi="Arial"/>
          <w:b/>
          <w:bCs/>
        </w:rPr>
        <w:t xml:space="preserve">Challenges</w:t>
      </w:r>
    </w:p>
    <w:p>
      <w:pPr>
        <w:pStyle w:val="ListParagraph"/>
        <w:numPr>
          <w:ilvl w:val="0"/>
          <w:numId w:val="2"/>
        </w:numPr>
        <w:spacing w:after="80"/>
      </w:pPr>
      <w:r>
        <w:rPr>
          <w:rFonts w:ascii="Arial" w:cs="Arial" w:eastAsia="Arial" w:hAnsi="Arial"/>
          <w:sz w:val="24"/>
          <w:szCs w:val="24"/>
        </w:rPr>
        <w:t xml:space="preserve">Three stale duplicate copies of the dedup → ANOVA → embedded-check → Agreement pipeline were physically present in the notebook from earlier sessions, silently overwriting variables on top-to-bottom execution. A recurring KeyError was caused by notebook structure, not code logic. Lesson: audit for and delete superseded cells when reordering a long-lived notebook</w:t>
      </w:r>
    </w:p>
    <w:p>
      <w:pPr>
        <w:pStyle w:val="ListParagraph"/>
        <w:numPr>
          <w:ilvl w:val="0"/>
          <w:numId w:val="2"/>
        </w:numPr>
        <w:spacing w:after="80"/>
      </w:pPr>
      <w:r>
        <w:rPr>
          <w:rFonts w:ascii="Arial" w:cs="Arial" w:eastAsia="Arial" w:hAnsi="Arial"/>
          <w:sz w:val="24"/>
          <w:szCs w:val="24"/>
        </w:rPr>
        <w:t xml:space="preserve">Item_Visibility imputation surfaced a real bug after the 3-way split restructure: when every row for a given Item_Identifier was missing within the 80% X_train split, the group mean was itself NaN, leaving residual NaNs that pearsonr silently accepted. Fixed by adding a two-level fallback</w:t>
      </w:r>
    </w:p>
    <w:p>
      <w:pPr>
        <w:pStyle w:val="ListParagraph"/>
        <w:numPr>
          <w:ilvl w:val="0"/>
          <w:numId w:val="2"/>
        </w:numPr>
        <w:spacing w:after="80"/>
      </w:pPr>
      <w:r>
        <w:rPr>
          <w:rFonts w:ascii="Arial" w:cs="Arial" w:eastAsia="Arial" w:hAnsi="Arial"/>
          <w:sz w:val="24"/>
          <w:szCs w:val="24"/>
        </w:rPr>
        <w:t xml:space="preserve">The exp() retransformation introduces a systematic low-bias (~11%) via Jensen’s inequality. Identifying the correct Duan smearing formula (nonparametric mean(exp(residuals)) vs. the parametric exp(σ²/2) lognormal correction) and computing it on honest out-of-sample holdout residuals required multiple iterations</w:t>
      </w:r>
    </w:p>
    <w:p>
      <w:pPr>
        <w:pStyle w:val="ListParagraph"/>
        <w:numPr>
          <w:ilvl w:val="0"/>
          <w:numId w:val="2"/>
        </w:numPr>
        <w:spacing w:after="80"/>
      </w:pPr>
      <w:r>
        <w:rPr>
          <w:rFonts w:ascii="Arial" w:cs="Arial" w:eastAsia="Arial" w:hAnsi="Arial"/>
          <w:sz w:val="24"/>
          <w:szCs w:val="24"/>
        </w:rPr>
        <w:t xml:space="preserve">PyOD algorithm selection required balancing detection breadth against false positive rate. OCSVM was sensitive to the StandardScaler preprocessing from the main notebook’s pipeline; a fresh scaler fit on the full precleaned dataset was required to avoid score artifacts from the train-only scaling applied upstream</w:t>
      </w:r>
    </w:p>
    <w:p>
      <w:pPr>
        <w:spacing w:after="80"/>
      </w:pPr>
      <w:r>
        <w:t xml:space="preserve"/>
      </w:r>
    </w:p>
    <w:p>
      <w:pPr>
        <w:pStyle w:val="Heading1"/>
      </w:pPr>
      <w:r>
        <w:rPr>
          <w:rFonts w:ascii="Arial" w:cs="Arial" w:eastAsia="Arial" w:hAnsi="Arial"/>
          <w:b/>
          <w:bCs/>
        </w:rPr>
        <w:t xml:space="preserve">Future Uses / Applications</w:t>
      </w:r>
    </w:p>
    <w:p>
      <w:pPr>
        <w:pStyle w:val="ListParagraph"/>
        <w:numPr>
          <w:ilvl w:val="0"/>
          <w:numId w:val="2"/>
        </w:numPr>
        <w:spacing w:after="80"/>
      </w:pPr>
      <w:r>
        <w:rPr>
          <w:rFonts w:ascii="Arial" w:cs="Arial" w:eastAsia="Arial" w:hAnsi="Arial"/>
          <w:sz w:val="24"/>
          <w:szCs w:val="24"/>
        </w:rPr>
        <w:t xml:space="preserve">Inventory optimization: outlet-level predictions fed into reorder point models for each product-store combination</w:t>
      </w:r>
    </w:p>
    <w:p>
      <w:pPr>
        <w:pStyle w:val="ListParagraph"/>
        <w:numPr>
          <w:ilvl w:val="0"/>
          <w:numId w:val="2"/>
        </w:numPr>
        <w:spacing w:after="80"/>
      </w:pPr>
      <w:r>
        <w:rPr>
          <w:rFonts w:ascii="Arial" w:cs="Arial" w:eastAsia="Arial" w:hAnsi="Arial"/>
          <w:sz w:val="24"/>
          <w:szCs w:val="24"/>
        </w:rPr>
        <w:t xml:space="preserve">Anomaly-triggered review workflows: PyOD high-confidence flags (consensus_score ≥ 3) surfaced automatically to operations teams as a daily exception report</w:t>
      </w:r>
    </w:p>
    <w:p>
      <w:pPr>
        <w:pStyle w:val="ListParagraph"/>
        <w:numPr>
          <w:ilvl w:val="0"/>
          <w:numId w:val="2"/>
        </w:numPr>
        <w:spacing w:after="80"/>
      </w:pPr>
      <w:r>
        <w:rPr>
          <w:rFonts w:ascii="Arial" w:cs="Arial" w:eastAsia="Arial" w:hAnsi="Arial"/>
          <w:sz w:val="24"/>
          <w:szCs w:val="24"/>
        </w:rPr>
        <w:t xml:space="preserve">Sub-model architecture: train a dedicated model on Supermarket Type3 data (OUT027) given its structural divergence from the rest of the dataset; expect meaningful RMSE reduction on that segment</w:t>
      </w:r>
    </w:p>
    <w:p>
      <w:pPr>
        <w:pStyle w:val="ListParagraph"/>
        <w:numPr>
          <w:ilvl w:val="0"/>
          <w:numId w:val="2"/>
        </w:numPr>
        <w:spacing w:after="80"/>
      </w:pPr>
      <w:r>
        <w:rPr>
          <w:rFonts w:ascii="Arial" w:cs="Arial" w:eastAsia="Arial" w:hAnsi="Arial"/>
          <w:sz w:val="24"/>
          <w:szCs w:val="24"/>
        </w:rPr>
        <w:t xml:space="preserve">New outlet forecasting: apply trained model to df_test as a proxy for new outlet sales estimation, with PyOD scores flagging predictions made on feature profiles unlike the training distribution</w:t>
      </w:r>
    </w:p>
    <w:p>
      <w:pPr>
        <w:pStyle w:val="ListParagraph"/>
        <w:numPr>
          <w:ilvl w:val="0"/>
          <w:numId w:val="2"/>
        </w:numPr>
        <w:spacing w:after="80"/>
      </w:pPr>
      <w:r>
        <w:rPr>
          <w:rFonts w:ascii="Arial" w:cs="Arial" w:eastAsia="Arial" w:hAnsi="Arial"/>
          <w:sz w:val="24"/>
          <w:szCs w:val="24"/>
        </w:rPr>
        <w:t xml:space="preserve">Real-time scoring API: wrap final_model.predict and PyOD scorer in a FastAPI endpoint consuming outlet and product attributes; return predicted sales alongside anomaly score and category</w:t>
      </w:r>
    </w:p>
    <w:p>
      <w:pPr>
        <w:spacing w:after="80"/>
      </w:pPr>
      <w:r>
        <w:t xml:space="preserve"/>
      </w:r>
    </w:p>
    <w:p>
      <w:pPr>
        <w:pStyle w:val="Heading1"/>
      </w:pPr>
      <w:r>
        <w:rPr>
          <w:rFonts w:ascii="Arial" w:cs="Arial" w:eastAsia="Arial" w:hAnsi="Arial"/>
          <w:b/>
          <w:bCs/>
        </w:rPr>
        <w:t xml:space="preserve">Implementation Plan</w:t>
      </w:r>
    </w:p>
    <w:p>
      <w:pPr>
        <w:spacing w:after="120"/>
        <w:jc w:val="left"/>
      </w:pPr>
      <w:r>
        <w:rPr>
          <w:rFonts w:ascii="Arial" w:cs="Arial" w:eastAsia="Arial" w:hAnsi="Arial"/>
          <w:b w:val="false"/>
          <w:bCs w:val="false"/>
          <w:color w:val="000000"/>
          <w:sz w:val="24"/>
          <w:szCs w:val="24"/>
        </w:rPr>
        <w:t xml:space="preserve">The recommended Bagging(tuned GBR) model should be serialized (joblib.dump) alongside the fitted LabelEncoders, ordinal maps, StandardScaler, final_features list, and PyOD ensemble as a versioned artifact bundle. Deployment via a Streamlit application or REST API would accept product and outlet attributes, apply the same preprocessing pipeline, and return predicted sales with a confidence interval derived from the per-fold RMSE distribution and an anomaly flag from the PyOD ensemble. Ongoing monitoring should track:</w:t>
      </w:r>
    </w:p>
    <w:p>
      <w:pPr>
        <w:pStyle w:val="ListParagraph"/>
        <w:numPr>
          <w:ilvl w:val="0"/>
          <w:numId w:val="2"/>
        </w:numPr>
        <w:spacing w:after="80"/>
      </w:pPr>
      <w:r>
        <w:rPr>
          <w:rFonts w:ascii="Arial" w:cs="Arial" w:eastAsia="Arial" w:hAnsi="Arial"/>
          <w:sz w:val="24"/>
          <w:szCs w:val="24"/>
        </w:rPr>
        <w:t xml:space="preserve">Prediction distribution shift vs. training distribution (PSI on Item_MRP, Outlet_Type)</w:t>
      </w:r>
    </w:p>
    <w:p>
      <w:pPr>
        <w:pStyle w:val="ListParagraph"/>
        <w:numPr>
          <w:ilvl w:val="0"/>
          <w:numId w:val="2"/>
        </w:numPr>
        <w:spacing w:after="80"/>
      </w:pPr>
      <w:r>
        <w:rPr>
          <w:rFonts w:ascii="Arial" w:cs="Arial" w:eastAsia="Arial" w:hAnsi="Arial"/>
          <w:sz w:val="24"/>
          <w:szCs w:val="24"/>
        </w:rPr>
        <w:t xml:space="preserve">Residual drift on any ground-truth sales data collected post-deployment</w:t>
      </w:r>
    </w:p>
    <w:p>
      <w:pPr>
        <w:pStyle w:val="ListParagraph"/>
        <w:numPr>
          <w:ilvl w:val="0"/>
          <w:numId w:val="2"/>
        </w:numPr>
        <w:spacing w:after="80"/>
      </w:pPr>
      <w:r>
        <w:rPr>
          <w:rFonts w:ascii="Arial" w:cs="Arial" w:eastAsia="Arial" w:hAnsi="Arial"/>
          <w:sz w:val="24"/>
          <w:szCs w:val="24"/>
        </w:rPr>
        <w:t xml:space="preserve">Outlet_Type segment RMSE — Supermarket Type3 is the highest-risk segment given its widest residual spread and highest PyOD flag rate</w:t>
      </w:r>
    </w:p>
    <w:p>
      <w:pPr>
        <w:pStyle w:val="ListParagraph"/>
        <w:numPr>
          <w:ilvl w:val="0"/>
          <w:numId w:val="2"/>
        </w:numPr>
        <w:spacing w:after="80"/>
      </w:pPr>
      <w:r>
        <w:rPr>
          <w:rFonts w:ascii="Arial" w:cs="Arial" w:eastAsia="Arial" w:hAnsi="Arial"/>
          <w:sz w:val="24"/>
          <w:szCs w:val="24"/>
        </w:rPr>
        <w:t xml:space="preserve">PyOD anomaly rate drift — a sustained increase in flagged observations signals feature distribution shift warranting retraining</w:t>
      </w:r>
    </w:p>
    <w:p>
      <w:pPr>
        <w:spacing w:after="80"/>
      </w:pPr>
      <w:r>
        <w:t xml:space="preserve"/>
      </w:r>
    </w:p>
    <w:p>
      <w:pPr>
        <w:spacing w:after="120"/>
        <w:jc w:val="left"/>
      </w:pPr>
      <w:r>
        <w:rPr>
          <w:rFonts w:ascii="Arial" w:cs="Arial" w:eastAsia="Arial" w:hAnsi="Arial"/>
          <w:b w:val="false"/>
          <w:bCs w:val="false"/>
          <w:color w:val="000000"/>
          <w:sz w:val="24"/>
          <w:szCs w:val="24"/>
        </w:rPr>
        <w:t xml:space="preserve">Periodic retraining should be triggered when PSI exceeds 0.2 on any consensus feature or when rolling 30-day holdout RMSE exceeds the training CV RMSE by more than two standard deviations.</w:t>
      </w:r>
    </w:p>
    <w:p>
      <w:pPr>
        <w:spacing w:after="80"/>
      </w:pPr>
      <w:r>
        <w:t xml:space="preserve"/>
      </w:r>
    </w:p>
    <w:p>
      <w:pPr>
        <w:pStyle w:val="Heading1"/>
      </w:pPr>
      <w:r>
        <w:rPr>
          <w:rFonts w:ascii="Arial" w:cs="Arial" w:eastAsia="Arial" w:hAnsi="Arial"/>
          <w:b/>
          <w:bCs/>
        </w:rPr>
        <w:t xml:space="preserve">Recommendations</w:t>
      </w:r>
    </w:p>
    <w:p>
      <w:pPr>
        <w:pStyle w:val="ListParagraph"/>
        <w:numPr>
          <w:ilvl w:val="0"/>
          <w:numId w:val="2"/>
        </w:numPr>
        <w:spacing w:after="80"/>
      </w:pPr>
      <w:r>
        <w:rPr>
          <w:rFonts w:ascii="Arial" w:cs="Arial" w:eastAsia="Arial" w:hAnsi="Arial"/>
          <w:sz w:val="24"/>
          <w:szCs w:val="24"/>
        </w:rPr>
        <w:t xml:space="preserve">Tune Lasso alpha via LassoCV inside a Pipeline to make it a valid comparison entry at any target scale</w:t>
      </w:r>
    </w:p>
    <w:p>
      <w:pPr>
        <w:pStyle w:val="ListParagraph"/>
        <w:numPr>
          <w:ilvl w:val="0"/>
          <w:numId w:val="2"/>
        </w:numPr>
        <w:spacing w:after="80"/>
      </w:pPr>
      <w:r>
        <w:rPr>
          <w:rFonts w:ascii="Arial" w:cs="Arial" w:eastAsia="Arial" w:hAnsi="Arial"/>
          <w:sz w:val="24"/>
          <w:szCs w:val="24"/>
        </w:rPr>
        <w:t xml:space="preserve">Sweep Bagging n_estimators over [10, 25, 50] with 5-fold CV to determine whether n_estimators=5 is genuinely optimal or an artifact of the random_state sweep</w:t>
      </w:r>
    </w:p>
    <w:p>
      <w:pPr>
        <w:pStyle w:val="ListParagraph"/>
        <w:numPr>
          <w:ilvl w:val="0"/>
          <w:numId w:val="2"/>
        </w:numPr>
        <w:spacing w:after="80"/>
      </w:pPr>
      <w:r>
        <w:rPr>
          <w:rFonts w:ascii="Arial" w:cs="Arial" w:eastAsia="Arial" w:hAnsi="Arial"/>
          <w:sz w:val="24"/>
          <w:szCs w:val="24"/>
        </w:rPr>
        <w:t xml:space="preserve">Evaluate LightGBM and XGBoost as drop-in replacements for sklearn GBR — both handle categorical features natively and enable wider hyperparameter search</w:t>
      </w:r>
    </w:p>
    <w:p>
      <w:pPr>
        <w:pStyle w:val="ListParagraph"/>
        <w:numPr>
          <w:ilvl w:val="0"/>
          <w:numId w:val="2"/>
        </w:numPr>
        <w:spacing w:after="80"/>
      </w:pPr>
      <w:r>
        <w:rPr>
          <w:rFonts w:ascii="Arial" w:cs="Arial" w:eastAsia="Arial" w:hAnsi="Arial"/>
          <w:sz w:val="24"/>
          <w:szCs w:val="24"/>
        </w:rPr>
        <w:t xml:space="preserve">Apply SHAP values to the final model on the holdout set to quantify per-feature contribution and validate that Outlet_Type and Item_MRP are the dominant drivers</w:t>
      </w:r>
    </w:p>
    <w:p>
      <w:pPr>
        <w:pStyle w:val="ListParagraph"/>
        <w:numPr>
          <w:ilvl w:val="0"/>
          <w:numId w:val="2"/>
        </w:numPr>
        <w:spacing w:after="80"/>
      </w:pPr>
      <w:r>
        <w:rPr>
          <w:rFonts w:ascii="Arial" w:cs="Arial" w:eastAsia="Arial" w:hAnsi="Arial"/>
          <w:sz w:val="24"/>
          <w:szCs w:val="24"/>
        </w:rPr>
        <w:t xml:space="preserve">Train a dedicated sub-model on Supermarket Type3 records; PyOD and regression residuals both converge on OUT027 as the primary source of high-end underprediction</w:t>
      </w:r>
    </w:p>
    <w:p>
      <w:pPr>
        <w:pStyle w:val="ListParagraph"/>
        <w:numPr>
          <w:ilvl w:val="0"/>
          <w:numId w:val="2"/>
        </w:numPr>
        <w:spacing w:after="80"/>
      </w:pPr>
      <w:r>
        <w:rPr>
          <w:rFonts w:ascii="Arial" w:cs="Arial" w:eastAsia="Arial" w:hAnsi="Arial"/>
          <w:sz w:val="24"/>
          <w:szCs w:val="24"/>
        </w:rPr>
        <w:t xml:space="preserve">Investigate the negative Item_Visibility – sales correlation (r = −0.087) through partial dependence plots; a binned visibility feature may capture non-monotonic signal that the continuous version cannot</w:t>
      </w:r>
    </w:p>
    <w:p>
      <w:pPr>
        <w:pStyle w:val="ListParagraph"/>
        <w:numPr>
          <w:ilvl w:val="0"/>
          <w:numId w:val="2"/>
        </w:numPr>
        <w:spacing w:after="80"/>
      </w:pPr>
      <w:r>
        <w:rPr>
          <w:rFonts w:ascii="Arial" w:cs="Arial" w:eastAsia="Arial" w:hAnsi="Arial"/>
          <w:sz w:val="24"/>
          <w:szCs w:val="24"/>
        </w:rPr>
        <w:t xml:space="preserve">Validate PyOD anomaly categories against domain expert review; the business categorization is heuristic and should be refined with input from BigMart operations or category management teams</w:t>
      </w:r>
    </w:p>
    <w:p>
      <w:pPr>
        <w:spacing w:after="80"/>
      </w:pPr>
      <w:r>
        <w:t xml:space="preserve"/>
      </w:r>
    </w:p>
    <w:p>
      <w:pPr>
        <w:pStyle w:val="Heading1"/>
      </w:pPr>
      <w:r>
        <w:rPr>
          <w:rFonts w:ascii="Arial" w:cs="Arial" w:eastAsia="Arial" w:hAnsi="Arial"/>
          <w:b/>
          <w:bCs/>
        </w:rPr>
        <w:t xml:space="preserve">Ethical Considerations</w:t>
      </w:r>
    </w:p>
    <w:p>
      <w:pPr>
        <w:pStyle w:val="ListParagraph"/>
        <w:numPr>
          <w:ilvl w:val="0"/>
          <w:numId w:val="2"/>
        </w:numPr>
        <w:spacing w:after="80"/>
      </w:pPr>
      <w:r>
        <w:rPr>
          <w:rFonts w:ascii="Arial" w:cs="Arial" w:eastAsia="Arial" w:hAnsi="Arial"/>
          <w:sz w:val="24"/>
          <w:szCs w:val="24"/>
        </w:rPr>
        <w:t xml:space="preserve">Group-based imputations may introduce systematic bias for products or outlets with sparse training coverage; these decisions should be documented and reviewed if predictions influence pricing or stocking decisions at specific outlet locations</w:t>
      </w:r>
    </w:p>
    <w:p>
      <w:pPr>
        <w:pStyle w:val="ListParagraph"/>
        <w:numPr>
          <w:ilvl w:val="0"/>
          <w:numId w:val="2"/>
        </w:numPr>
        <w:spacing w:after="80"/>
      </w:pPr>
      <w:r>
        <w:rPr>
          <w:rFonts w:ascii="Arial" w:cs="Arial" w:eastAsia="Arial" w:hAnsi="Arial"/>
          <w:sz w:val="24"/>
          <w:szCs w:val="24"/>
        </w:rPr>
        <w:t xml:space="preserve">Ensemble models (Bagging + GBR) are not directly interpretable; SHAP explanations should accompany any business-facing deployment to maintain transparency with stakeholders</w:t>
      </w:r>
    </w:p>
    <w:p>
      <w:pPr>
        <w:pStyle w:val="ListParagraph"/>
        <w:numPr>
          <w:ilvl w:val="0"/>
          <w:numId w:val="2"/>
        </w:numPr>
        <w:spacing w:after="80"/>
      </w:pPr>
      <w:r>
        <w:rPr>
          <w:rFonts w:ascii="Arial" w:cs="Arial" w:eastAsia="Arial" w:hAnsi="Arial"/>
          <w:sz w:val="24"/>
          <w:szCs w:val="24"/>
        </w:rPr>
        <w:t xml:space="preserve">PyOD anomaly flags, if surfaced to operations teams without context, could lead to disproportionate scrutiny of specific outlet types or product categories; anomaly scores should be presented alongside business category labels and residual context, not as isolated numerical flags</w:t>
      </w:r>
    </w:p>
    <w:p>
      <w:pPr>
        <w:pStyle w:val="ListParagraph"/>
        <w:numPr>
          <w:ilvl w:val="0"/>
          <w:numId w:val="2"/>
        </w:numPr>
        <w:spacing w:after="80"/>
      </w:pPr>
      <w:r>
        <w:rPr>
          <w:rFonts w:ascii="Arial" w:cs="Arial" w:eastAsia="Arial" w:hAnsi="Arial"/>
          <w:sz w:val="24"/>
          <w:szCs w:val="24"/>
        </w:rPr>
        <w:t xml:space="preserve">Predictions that influence product availability, shelf placement, or pricing carry downstream effects on consumer access and outlet revenue; monitoring for disproportionate effects across Tier 1 vs. Tier 3 outlets is warranted</w:t>
      </w:r>
    </w:p>
    <w:p>
      <w:pPr>
        <w:pStyle w:val="ListParagraph"/>
        <w:numPr>
          <w:ilvl w:val="0"/>
          <w:numId w:val="2"/>
        </w:numPr>
        <w:spacing w:after="80"/>
      </w:pPr>
      <w:r>
        <w:rPr>
          <w:rFonts w:ascii="Arial" w:cs="Arial" w:eastAsia="Arial" w:hAnsi="Arial"/>
          <w:sz w:val="24"/>
          <w:szCs w:val="24"/>
        </w:rPr>
        <w:t xml:space="preserve">No personally identifiable information is present in this dataset; privacy controls are not required for the current modeling scope</w:t>
      </w:r>
    </w:p>
    <w:p>
      <w:pPr>
        <w:spacing w:after="80"/>
      </w:pPr>
      <w:r>
        <w:t xml:space="preserve"/>
      </w:r>
    </w:p>
    <w:p>
      <w:pPr>
        <w:pStyle w:val="Heading1"/>
      </w:pPr>
      <w:r>
        <w:rPr>
          <w:rFonts w:ascii="Arial" w:cs="Arial" w:eastAsia="Arial" w:hAnsi="Arial"/>
          <w:b/>
          <w:bCs/>
        </w:rPr>
        <w:t xml:space="preserve">Conclusion</w:t>
      </w:r>
    </w:p>
    <w:p>
      <w:pPr>
        <w:spacing w:after="120"/>
        <w:jc w:val="left"/>
      </w:pPr>
      <w:r>
        <w:rPr>
          <w:rFonts w:ascii="Arial" w:cs="Arial" w:eastAsia="Arial" w:hAnsi="Arial"/>
          <w:b w:val="false"/>
          <w:bCs w:val="false"/>
          <w:color w:val="000000"/>
          <w:sz w:val="24"/>
          <w:szCs w:val="24"/>
        </w:rPr>
        <w:t xml:space="preserve">Bagging(tuned GradientBoostingRegressor) is the recommended model with CV RMSE 0.524 ± 0.016 and holdout RMSE 0.519 on the log scale (R² 0.738). Gradient Boosting alone is statistically indistinguishable and a viable alternative if model complexity is a concern. The corrected pipeline — split-first preprocessing, principled feature selection, log-target transformation with smearing correction, and 5-fold CV throughout — produces a trustworthy generalization estimate: CV and holdout agree within noise, OOF RMSE matches RMSE_mean exactly, and no negative predictions are generated.</w:t>
      </w:r>
    </w:p>
    <w:p>
      <w:pPr>
        <w:spacing w:after="80"/>
      </w:pPr>
      <w:r>
        <w:t xml:space="preserve"/>
      </w:r>
    </w:p>
    <w:p>
      <w:pPr>
        <w:spacing w:after="120"/>
        <w:jc w:val="left"/>
      </w:pPr>
      <w:r>
        <w:rPr>
          <w:rFonts w:ascii="Arial" w:cs="Arial" w:eastAsia="Arial" w:hAnsi="Arial"/>
          <w:b w:val="false"/>
          <w:bCs w:val="false"/>
          <w:color w:val="000000"/>
          <w:sz w:val="24"/>
          <w:szCs w:val="24"/>
        </w:rPr>
        <w:t xml:space="preserve">The complementary PyOD anomaly detection module identifies ~210 high-confidence structural outliers (~2.5% of training data), with Outlet Structural Outliers (OUT027 / Supermarket Type3) and Visibility Anomalies (grocery staples with near-zero shelf presence) as the two most actionable categories. The convergence of PyOD flags and regression residual diagnostics on the same observations — particularly Supermarket Type3 — provides mutual validation across two independent analytical methods and motivates a dedicated sub-model for that outlet segment as the most impactful next step.</w:t>
      </w:r>
    </w:p>
    <w:p>
      <w:pPr>
        <w:spacing w:after="80"/>
      </w:pPr>
      <w:r>
        <w:t xml:space="preserve"/>
      </w:r>
    </w:p>
    <w:p>
      <w:pPr>
        <w:pStyle w:val="Heading1"/>
      </w:pPr>
      <w:r>
        <w:rPr>
          <w:rFonts w:ascii="Arial" w:cs="Arial" w:eastAsia="Arial" w:hAnsi="Arial"/>
          <w:b/>
          <w:bCs/>
        </w:rPr>
        <w:t xml:space="preserve">References</w:t>
      </w:r>
    </w:p>
    <w:p>
      <w:pPr>
        <w:spacing w:after="120"/>
        <w:jc w:val="left"/>
      </w:pPr>
      <w:r>
        <w:rPr>
          <w:rFonts w:ascii="Arial" w:cs="Arial" w:eastAsia="Arial" w:hAnsi="Arial"/>
          <w:b w:val="false"/>
          <w:bCs w:val="false"/>
          <w:color w:val="000000"/>
          <w:sz w:val="24"/>
          <w:szCs w:val="24"/>
        </w:rPr>
        <w:t xml:space="preserve">BigMart Sales Dataset. (2013). Retrieved from Kaggle BigMart Sales Prediction competition. https://www.kaggle.com/datasets/brijbhushannanda1979/bigmart-sales-data</w:t>
      </w:r>
    </w:p>
    <w:p>
      <w:pPr>
        <w:spacing w:after="80"/>
      </w:pPr>
      <w:r>
        <w:t xml:space="preserve"/>
      </w:r>
    </w:p>
    <w:p>
      <w:pPr>
        <w:spacing w:after="120"/>
        <w:jc w:val="left"/>
      </w:pPr>
      <w:r>
        <w:rPr>
          <w:rFonts w:ascii="Arial" w:cs="Arial" w:eastAsia="Arial" w:hAnsi="Arial"/>
          <w:b w:val="false"/>
          <w:bCs w:val="false"/>
          <w:color w:val="000000"/>
          <w:sz w:val="24"/>
          <w:szCs w:val="24"/>
        </w:rPr>
        <w:t xml:space="preserve">Duan, N. (1983). Smearing estimate: A nonparametric retransformation method. Journal of the American Statistical Association, 78(383), 605–610. https://doi.org/10.1080/01621459.1983.10478017</w:t>
      </w:r>
    </w:p>
    <w:p>
      <w:pPr>
        <w:spacing w:after="80"/>
      </w:pPr>
      <w:r>
        <w:t xml:space="preserve"/>
      </w:r>
    </w:p>
    <w:p>
      <w:pPr>
        <w:spacing w:after="120"/>
        <w:jc w:val="left"/>
      </w:pPr>
      <w:r>
        <w:rPr>
          <w:rFonts w:ascii="Arial" w:cs="Arial" w:eastAsia="Arial" w:hAnsi="Arial"/>
          <w:b w:val="false"/>
          <w:bCs w:val="false"/>
          <w:color w:val="000000"/>
          <w:sz w:val="24"/>
          <w:szCs w:val="24"/>
        </w:rPr>
        <w:t xml:space="preserve">Friedman, J. H. (2001). Greedy function approximation: A gradient boosting machine. Annals of Statistics, 29(5), 1189–1232. https://doi.org/10.1214/aos/1013203451</w:t>
      </w:r>
    </w:p>
    <w:p>
      <w:pPr>
        <w:spacing w:after="80"/>
      </w:pPr>
      <w:r>
        <w:t xml:space="preserve"/>
      </w:r>
    </w:p>
    <w:p>
      <w:pPr>
        <w:spacing w:after="120"/>
        <w:jc w:val="left"/>
      </w:pPr>
      <w:r>
        <w:rPr>
          <w:rFonts w:ascii="Arial" w:cs="Arial" w:eastAsia="Arial" w:hAnsi="Arial"/>
          <w:b w:val="false"/>
          <w:bCs w:val="false"/>
          <w:color w:val="000000"/>
          <w:sz w:val="24"/>
          <w:szCs w:val="24"/>
        </w:rPr>
        <w:t xml:space="preserve">Zhao, Y., Nasrullah, Z., &amp; Li, Z. (2019). PyOD: A Python toolbox for scalable outlier detection. Journal of Machine Learning Research, 20(96), 1–7. https://jmlr.org/papers/v20/19-011.html</w:t>
      </w:r>
    </w:p>
    <w:p>
      <w:pPr>
        <w:spacing w:after="80"/>
      </w:pPr>
      <w:r>
        <w:t xml:space="preserve"/>
      </w:r>
    </w:p>
    <w:p>
      <w:pPr>
        <w:spacing w:after="120"/>
        <w:jc w:val="left"/>
      </w:pPr>
      <w:r>
        <w:rPr>
          <w:rFonts w:ascii="Arial" w:cs="Arial" w:eastAsia="Arial" w:hAnsi="Arial"/>
          <w:b w:val="false"/>
          <w:bCs w:val="false"/>
          <w:color w:val="000000"/>
          <w:sz w:val="24"/>
          <w:szCs w:val="24"/>
        </w:rPr>
        <w:t xml:space="preserve">Liu, F. T., Ting, K. M., &amp; Zhou, Z. H. (2008). Isolation forest. Proceedings of the 8th IEEE International Conference on Data Mining (ICDM), 413–422. https://doi.org/10.1109/ICDM.2008.17</w:t>
      </w:r>
    </w:p>
    <w:p>
      <w:pPr>
        <w:spacing w:after="80"/>
      </w:pPr>
      <w:r>
        <w:t xml:space="preserve"/>
      </w:r>
    </w:p>
    <w:p>
      <w:pPr>
        <w:spacing w:after="120"/>
        <w:jc w:val="left"/>
      </w:pPr>
      <w:r>
        <w:rPr>
          <w:rFonts w:ascii="Arial" w:cs="Arial" w:eastAsia="Arial" w:hAnsi="Arial"/>
          <w:b w:val="false"/>
          <w:bCs w:val="false"/>
          <w:color w:val="000000"/>
          <w:sz w:val="24"/>
          <w:szCs w:val="24"/>
        </w:rPr>
        <w:t xml:space="preserve">Breunig, M. M., Kriegel, H. P., Ng, R. T., &amp; Sander, J. (2000). LOF: Identifying density-based local outliers. Proceedings of the 2000 ACM SIGMOD International Conference on Management of Data, 93–104. https://doi.org/10.1145/342009.335388</w:t>
      </w:r>
    </w:p>
    <w:p>
      <w:pPr>
        <w:spacing w:after="80"/>
      </w:pPr>
      <w:r>
        <w:t xml:space="preserve"/>
      </w:r>
    </w:p>
    <w:p>
      <w:pPr>
        <w:spacing w:after="120"/>
        <w:jc w:val="left"/>
      </w:pPr>
      <w:r>
        <w:rPr>
          <w:rFonts w:ascii="Arial" w:cs="Arial" w:eastAsia="Arial" w:hAnsi="Arial"/>
          <w:b w:val="false"/>
          <w:bCs w:val="false"/>
          <w:color w:val="000000"/>
          <w:sz w:val="24"/>
          <w:szCs w:val="24"/>
        </w:rPr>
        <w:t xml:space="preserve">Pedregosa, F., Varoquaux, G., Gramfort, A., et al. (2011). Scikit-learn: Machine learning in Python. Journal of Machine Learning Research, 12, 2825–2830. https://jmlr.org/papers/v12/pedregosa11a.html</w:t>
      </w:r>
    </w:p>
    <w:p>
      <w:pPr>
        <w:spacing w:after="80"/>
      </w:pPr>
      <w:r>
        <w:t xml:space="preserve"/>
      </w:r>
    </w:p>
    <w:p>
      <w:r>
        <w:br w:type="page"/>
      </w:r>
    </w:p>
    <w:p>
      <w:pPr>
        <w:pStyle w:val="Heading1"/>
      </w:pPr>
      <w:r>
        <w:rPr>
          <w:rFonts w:ascii="Arial" w:cs="Arial" w:eastAsia="Arial" w:hAnsi="Arial"/>
          <w:b/>
          <w:bCs/>
        </w:rPr>
        <w:t xml:space="preserve">Ten Questions an Audience Would Ask</w:t>
      </w:r>
    </w:p>
    <w:p>
      <w:pPr>
        <w:spacing w:after="80"/>
      </w:pPr>
      <w:r>
        <w:t xml:space="preserve"/>
      </w:r>
    </w:p>
    <w:p>
      <w:pPr>
        <w:spacing w:after="120"/>
      </w:pPr>
      <w:r>
        <w:rPr>
          <w:rFonts w:ascii="Arial" w:cs="Arial" w:eastAsia="Arial" w:hAnsi="Arial"/>
          <w:b/>
          <w:bCs/>
          <w:sz w:val="24"/>
          <w:szCs w:val="24"/>
        </w:rPr>
        <w:t xml:space="preserve">1. Why did you choose Bagging over plain Gradient Boosting when they produce essentially the same RMSE?</w:t>
      </w:r>
    </w:p>
    <w:p>
      <w:pPr>
        <w:spacing w:after="120"/>
        <w:jc w:val="left"/>
      </w:pPr>
      <w:r>
        <w:rPr>
          <w:rFonts w:ascii="Arial" w:cs="Arial" w:eastAsia="Arial" w:hAnsi="Arial"/>
          <w:b w:val="false"/>
          <w:bCs w:val="false"/>
          <w:color w:val="000000"/>
          <w:sz w:val="24"/>
          <w:szCs w:val="24"/>
        </w:rPr>
        <w:t xml:space="preserve">Bagging and Gradient Boosting are statistically indistinguishable on this dataset — CV RMSE 0.523 vs. 0.524, a difference of 0.001 well within one standard deviation (0.016). The choice of Bagging was principled but not performance-driven: Bagging reduces variance by averaging predictions across bootstrap samples of the base learner, which provides a small additional stability buffer against unseen data. In production, where slight distribution shifts are expected between 2013 training data and future outlet behavior, that variance reduction is worth the modest increase in model complexity. If interpretability or serving latency were a constraint, plain Gradient Boosting is equally defensible.</w:t>
      </w:r>
    </w:p>
    <w:p>
      <w:pPr>
        <w:spacing w:after="80"/>
      </w:pPr>
      <w:r>
        <w:t xml:space="preserve"/>
      </w:r>
    </w:p>
    <w:p>
      <w:pPr>
        <w:spacing w:after="120"/>
      </w:pPr>
      <w:r>
        <w:rPr>
          <w:rFonts w:ascii="Arial" w:cs="Arial" w:eastAsia="Arial" w:hAnsi="Arial"/>
          <w:b/>
          <w:bCs/>
          <w:sz w:val="24"/>
          <w:szCs w:val="24"/>
        </w:rPr>
        <w:t xml:space="preserve">2. Why did you log-transform the target variable? What would have happened without it?</w:t>
      </w:r>
    </w:p>
    <w:p>
      <w:pPr>
        <w:spacing w:after="120"/>
        <w:jc w:val="left"/>
      </w:pPr>
      <w:r>
        <w:rPr>
          <w:rFonts w:ascii="Arial" w:cs="Arial" w:eastAsia="Arial" w:hAnsi="Arial"/>
          <w:b w:val="false"/>
          <w:bCs w:val="false"/>
          <w:color w:val="000000"/>
          <w:sz w:val="24"/>
          <w:szCs w:val="24"/>
        </w:rPr>
        <w:t xml:space="preserve">Item_Outlet_Sales is right-skewed — mean 2,181 vs. median 1,794, with a maximum of 13,087 that is roughly 4x the 75th percentile. Without the log-transform, squared-error loss dedicates disproportionate fitting capacity to the high-value tail, pulls predictions upward for average items, and has no mechanism to prevent negative predictions. In practice, removing the log-transform produced exactly these symptoms: 82 of 5,681 predictions went negative, predicted maximum dropped to 6,554 (far below the training maximum of 13,087), and R² fell from 0.735 to 0.596. The log-transform resolves all three by compressing the tail and symmetrizing the loss landscape. The cost is that all reported RMSE and MAE values are on the log scale and must be back-transformed for business communication.</w:t>
      </w:r>
    </w:p>
    <w:p>
      <w:pPr>
        <w:spacing w:after="80"/>
      </w:pPr>
      <w:r>
        <w:t xml:space="preserve"/>
      </w:r>
    </w:p>
    <w:p>
      <w:pPr>
        <w:spacing w:after="120"/>
      </w:pPr>
      <w:r>
        <w:rPr>
          <w:rFonts w:ascii="Arial" w:cs="Arial" w:eastAsia="Arial" w:hAnsi="Arial"/>
          <w:b/>
          <w:bCs/>
          <w:sz w:val="24"/>
          <w:szCs w:val="24"/>
        </w:rPr>
        <w:t xml:space="preserve">3. What is the Duan smearing correction and why is it necessary?</w:t>
      </w:r>
    </w:p>
    <w:p>
      <w:pPr>
        <w:spacing w:after="120"/>
        <w:jc w:val="left"/>
      </w:pPr>
      <w:r>
        <w:rPr>
          <w:rFonts w:ascii="Arial" w:cs="Arial" w:eastAsia="Arial" w:hAnsi="Arial"/>
          <w:b w:val="false"/>
          <w:bCs w:val="false"/>
          <w:color w:val="000000"/>
          <w:sz w:val="24"/>
          <w:szCs w:val="24"/>
        </w:rPr>
        <w:t xml:space="preserve">When a regression model is trained on log(y) and predictions are back-transformed via exp(), a mathematical bias is introduced. Because exp() is a convex function, Jensen’s inequality guarantees that exp(E[log y]) &lt; E[y] — the expected value of the back-transformed prediction is always less than the true expected value of y. In this dataset, this bias is approximately 11%: the mean predicted sales was ~1,944 vs. the training mean of ~2,181. The Duan smearing estimator corrects this nonparametrically: compute the mean of exp(residuals) on honest out-of-sample holdout data, and multiply all final predictions by that factor. The key word is honest — residuals computed in-sample (on the same data the model was fit on) understate the true residual variance and produce an insufficient correction. The smearing factor must be computed on holdout data the model has never seen.</w:t>
      </w:r>
    </w:p>
    <w:p>
      <w:pPr>
        <w:spacing w:after="80"/>
      </w:pPr>
      <w:r>
        <w:t xml:space="preserve"/>
      </w:r>
    </w:p>
    <w:p>
      <w:pPr>
        <w:spacing w:after="120"/>
      </w:pPr>
      <w:r>
        <w:rPr>
          <w:rFonts w:ascii="Arial" w:cs="Arial" w:eastAsia="Arial" w:hAnsi="Arial"/>
          <w:b/>
          <w:bCs/>
          <w:sz w:val="24"/>
          <w:szCs w:val="24"/>
        </w:rPr>
        <w:t xml:space="preserve">4. Why did your hyperparameter tuning consistently produce no improvement over sklearn defaults?</w:t>
      </w:r>
    </w:p>
    <w:p>
      <w:pPr>
        <w:spacing w:after="120"/>
        <w:jc w:val="left"/>
      </w:pPr>
      <w:r>
        <w:rPr>
          <w:rFonts w:ascii="Arial" w:cs="Arial" w:eastAsia="Arial" w:hAnsi="Arial"/>
          <w:b w:val="false"/>
          <w:bCs w:val="false"/>
          <w:color w:val="000000"/>
          <w:sz w:val="24"/>
          <w:szCs w:val="24"/>
        </w:rPr>
        <w:t xml:space="preserve">This pattern repeated across three separate tuning sessions and is worth addressing directly. The most likely explanation is that the tuning grid did not include learning_rate and n_estimators jointly — these are the two most impactful GBR hyperparameters, and their interaction is strong: a smaller learning_rate requires more trees to converge, and a larger learning_rate can overfit with too many trees. Searching them independently (or not at all, as in this grid) misses the most important optimization surface. A secondary explanation is that the feature set itself is the binding constraint: with only 10 features surviving selection, the model may genuinely be near its performance ceiling for this input representation, and hyperparameter changes shift individual fold scores within noise without changing the mean.</w:t>
      </w:r>
    </w:p>
    <w:p>
      <w:pPr>
        <w:spacing w:after="80"/>
      </w:pPr>
      <w:r>
        <w:t xml:space="preserve"/>
      </w:r>
    </w:p>
    <w:p>
      <w:pPr>
        <w:spacing w:after="120"/>
      </w:pPr>
      <w:r>
        <w:rPr>
          <w:rFonts w:ascii="Arial" w:cs="Arial" w:eastAsia="Arial" w:hAnsi="Arial"/>
          <w:b/>
          <w:bCs/>
          <w:sz w:val="24"/>
          <w:szCs w:val="24"/>
        </w:rPr>
        <w:t xml:space="preserve">5. How does the PyOD anomaly detection complement the regression model rather than duplicate it?</w:t>
      </w:r>
    </w:p>
    <w:p>
      <w:pPr>
        <w:spacing w:after="120"/>
        <w:jc w:val="left"/>
      </w:pPr>
      <w:r>
        <w:rPr>
          <w:rFonts w:ascii="Arial" w:cs="Arial" w:eastAsia="Arial" w:hAnsi="Arial"/>
          <w:b w:val="false"/>
          <w:bCs w:val="false"/>
          <w:color w:val="000000"/>
          <w:sz w:val="24"/>
          <w:szCs w:val="24"/>
        </w:rPr>
        <w:t xml:space="preserve">Regression asks: given this feature profile, what sales should we predict? Anomaly detection asks: is this feature profile itself unusual compared to the rest of the dataset? These are independent questions. A record can have a perfectly accurate prediction and still be structurally anomalous — meaning the model happened to get it right despite the observation being unlike anything in the training distribution. Conversely, a record can be structurally normal and still have a large residual. The most actionable intersection is observations that are both high-residual and high-anomaly score — these are cases where the model fails and PyOD confirms the observation is structurally deviant. OUT027 (Supermarket Type3) appears in both analyses independently, which provides cross-method validation that was not designed in advance.</w:t>
      </w:r>
    </w:p>
    <w:p>
      <w:pPr>
        <w:spacing w:after="80"/>
      </w:pPr>
      <w:r>
        <w:t xml:space="preserve"/>
      </w:r>
    </w:p>
    <w:p>
      <w:pPr>
        <w:spacing w:after="120"/>
      </w:pPr>
      <w:r>
        <w:rPr>
          <w:rFonts w:ascii="Arial" w:cs="Arial" w:eastAsia="Arial" w:hAnsi="Arial"/>
          <w:b/>
          <w:bCs/>
          <w:sz w:val="24"/>
          <w:szCs w:val="24"/>
        </w:rPr>
        <w:t xml:space="preserve">6. Why did you revert the Outlet_Type2 and Type3 merge from Milestone 1?</w:t>
      </w:r>
    </w:p>
    <w:p>
      <w:pPr>
        <w:spacing w:after="120"/>
        <w:jc w:val="left"/>
      </w:pPr>
      <w:r>
        <w:rPr>
          <w:rFonts w:ascii="Arial" w:cs="Arial" w:eastAsia="Arial" w:hAnsi="Arial"/>
          <w:b w:val="false"/>
          <w:bCs w:val="false"/>
          <w:color w:val="000000"/>
          <w:sz w:val="24"/>
          <w:szCs w:val="24"/>
        </w:rPr>
        <w:t xml:space="preserve">The merge was based on EDA crosstabs showing similar composition between Supermarket Type2 and Type3 in terms of outlet size, location tier, and item type distribution. That reasoning was correct as far as it went, but it stopped short of checking the actual target variable. When the sales distributions are compared directly, OUT018 (Type2) has mean sales of 1,995 and OUT027 (Type3) has mean sales of 3,694 — a Welch t-test gives p ~ 6e-83, meaning the difference is not remotely explained by sampling variation. Merging these two outlets destroyed the single most informative categorical signal in the dataset for the high-value tail. The lesson is that structural similarity in input features does not imply similarity in the target, and merges motivated by EDA should always be validated against target distribution before being committed.</w:t>
      </w:r>
    </w:p>
    <w:p>
      <w:pPr>
        <w:spacing w:after="80"/>
      </w:pPr>
      <w:r>
        <w:t xml:space="preserve"/>
      </w:r>
    </w:p>
    <w:p>
      <w:pPr>
        <w:spacing w:after="120"/>
      </w:pPr>
      <w:r>
        <w:rPr>
          <w:rFonts w:ascii="Arial" w:cs="Arial" w:eastAsia="Arial" w:hAnsi="Arial"/>
          <w:b/>
          <w:bCs/>
          <w:sz w:val="24"/>
          <w:szCs w:val="24"/>
        </w:rPr>
        <w:t xml:space="preserve">7. Why does Item_Visibility have a negative correlation with sales, and should you have dropped it?</w:t>
      </w:r>
    </w:p>
    <w:p>
      <w:pPr>
        <w:spacing w:after="120"/>
        <w:jc w:val="left"/>
      </w:pPr>
      <w:r>
        <w:rPr>
          <w:rFonts w:ascii="Arial" w:cs="Arial" w:eastAsia="Arial" w:hAnsi="Arial"/>
          <w:b w:val="false"/>
          <w:bCs w:val="false"/>
          <w:color w:val="000000"/>
          <w:sz w:val="24"/>
          <w:szCs w:val="24"/>
        </w:rPr>
        <w:t xml:space="preserve">The negative correlation (r = −0.087) is counterintuitive — you would expect more visible products to sell more. The most likely explanation is reverse causality in the data: high-selling staples (dairy, bread, canned goods) may be given less prominent shelf placement because they sell regardless, while specialty or premium items receive prominent placement to stimulate demand. Imputation may also contribute: zero visibility values were replaced with group means, which tends to pull visibility values toward a central range for high-volume items. The feature was retained rather than dropped because it was statistically significant (p = 4.9e-13) and the ANOVA/Pearson/embedded agreement pipeline confirmed it adds marginal signal. Whether a binned visibility feature (low vs. medium vs. high) would better capture any non-monotonic relationship is a reasonable next experiment.</w:t>
      </w:r>
    </w:p>
    <w:p>
      <w:pPr>
        <w:spacing w:after="80"/>
      </w:pPr>
      <w:r>
        <w:t xml:space="preserve"/>
      </w:r>
    </w:p>
    <w:p>
      <w:pPr>
        <w:spacing w:after="120"/>
      </w:pPr>
      <w:r>
        <w:rPr>
          <w:rFonts w:ascii="Arial" w:cs="Arial" w:eastAsia="Arial" w:hAnsi="Arial"/>
          <w:b/>
          <w:bCs/>
          <w:sz w:val="24"/>
          <w:szCs w:val="24"/>
        </w:rPr>
        <w:t xml:space="preserve">8. How do you know your 5-fold CV estimate is actually unbiased and not optimistic?</w:t>
      </w:r>
    </w:p>
    <w:p>
      <w:pPr>
        <w:spacing w:after="120"/>
        <w:jc w:val="left"/>
      </w:pPr>
      <w:r>
        <w:rPr>
          <w:rFonts w:ascii="Arial" w:cs="Arial" w:eastAsia="Arial" w:hAnsi="Arial"/>
          <w:b w:val="false"/>
          <w:bCs w:val="false"/>
          <w:color w:val="000000"/>
          <w:sz w:val="24"/>
          <w:szCs w:val="24"/>
        </w:rPr>
        <w:t xml:space="preserve">Three checks were applied. First, the OOF RMSE (computed by pooling all held-out predictions across folds) matched the per-fold mean RMSE exactly (0.524 = 0.524) — if there were fold-size imbalance or leakage, these would diverge. Second, the holdout evaluation (20% of data never seen during CV or tuning) produced RMSE 0.519, MAE 0.400, and R² 0.738 — all within one CV standard deviation of the corresponding CV metrics. Third, the pattern held across all eight models: every model’s holdout RMSE was within its CV std band, with no model showing a large holdout-to-CV gap that would indicate the CV estimate was overfit to the particular fold structure. The marginal direction of the gap (holdout slightly better than CV) is attributed to this specific 80/20 split producing an incidentally easier validation slice — consistent across all models, not a product of tuning.</w:t>
      </w:r>
    </w:p>
    <w:p>
      <w:pPr>
        <w:spacing w:after="80"/>
      </w:pPr>
      <w:r>
        <w:t xml:space="preserve"/>
      </w:r>
    </w:p>
    <w:p>
      <w:pPr>
        <w:spacing w:after="120"/>
      </w:pPr>
      <w:r>
        <w:rPr>
          <w:rFonts w:ascii="Arial" w:cs="Arial" w:eastAsia="Arial" w:hAnsi="Arial"/>
          <w:b/>
          <w:bCs/>
          <w:sz w:val="24"/>
          <w:szCs w:val="24"/>
        </w:rPr>
        <w:t xml:space="preserve">9. What does an RMSE of 0.524 on the log scale actually mean for a business user?</w:t>
      </w:r>
    </w:p>
    <w:p>
      <w:pPr>
        <w:spacing w:after="120"/>
        <w:jc w:val="left"/>
      </w:pPr>
      <w:r>
        <w:rPr>
          <w:rFonts w:ascii="Arial" w:cs="Arial" w:eastAsia="Arial" w:hAnsi="Arial"/>
          <w:b w:val="false"/>
          <w:bCs w:val="false"/>
          <w:color w:val="000000"/>
          <w:sz w:val="24"/>
          <w:szCs w:val="24"/>
        </w:rPr>
        <w:t xml:space="preserve">An RMSE of 0.524 on the log scale corresponds to a multiplicative error factor of approximately exp(0.524) ≈ 1.69 — meaning predictions are off by a factor of about 1.69 in either direction on average. For a product with actual sales of 2,000 units, the model’s prediction could reasonably range from about 1,182 to 3,380. Expressed as a percentage, this is roughly ±40% on mid-range sales. For the bulk of products in the 500–3,000 unit range, this translates to absolute errors of 200–1,200 units. Whether that is acceptable depends on the use case: for inventory planning at the case level it may be too imprecise; for outlet-level revenue forecasting or identifying the top and bottom quartile of performers it is likely sufficient. The decile residual plot shows that error is not evenly distributed — predictions for low-to-mid-sales items are considerably more accurate than predictions for high-sales outliers.</w:t>
      </w:r>
    </w:p>
    <w:p>
      <w:pPr>
        <w:spacing w:after="80"/>
      </w:pPr>
      <w:r>
        <w:t xml:space="preserve"/>
      </w:r>
    </w:p>
    <w:p>
      <w:pPr>
        <w:spacing w:after="120"/>
      </w:pPr>
      <w:r>
        <w:rPr>
          <w:rFonts w:ascii="Arial" w:cs="Arial" w:eastAsia="Arial" w:hAnsi="Arial"/>
          <w:b/>
          <w:bCs/>
          <w:sz w:val="24"/>
          <w:szCs w:val="24"/>
        </w:rPr>
        <w:t xml:space="preserve">10. If you could start this project over, what would you do differently?</w:t>
      </w:r>
    </w:p>
    <w:p>
      <w:pPr>
        <w:spacing w:after="120"/>
        <w:jc w:val="left"/>
      </w:pPr>
      <w:r>
        <w:rPr>
          <w:rFonts w:ascii="Arial" w:cs="Arial" w:eastAsia="Arial" w:hAnsi="Arial"/>
          <w:b w:val="false"/>
          <w:bCs w:val="false"/>
          <w:color w:val="000000"/>
          <w:sz w:val="24"/>
          <w:szCs w:val="24"/>
        </w:rPr>
        <w:t xml:space="preserve">Three things. First, I would enforce the canonical pipeline order from day one rather than discovering leakage through post-hoc review. The split-first discipline should be the first cell in any ML notebook, not something corrected across multiple revision cycles. Second, I would include LightGBM or XGBoost in the initial model comparison rather than adding them as future recommendations. Both handle categorical features natively and tune faster than sklearn GBR, which would have enabled a wider hyperparameter search within the same computational budget. Third, I would instrument the notebook with explicit assertions after each preprocessing step — checking that imputed column NaN counts are zero, that scaled columns have zero mean and unit variance on X_train, and that feature counts match expected dimensions before encoding. Several bugs in this project (the NaN imputation residual, the stale duplicate pipeline cells) were caught late because no assertions enforced invariants at each stage. Defensive programming in data pipelines catches errors when they are introduced rather than when they corrupt downstream results.</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2026-06-22T19:22:11.235Z</dcterms:created>
  <dcterms:modified xsi:type="dcterms:W3CDTF">2026-06-22T19:22:11.248Z</dcterms:modified>
</cp:coreProperties>
</file>

<file path=docProps/custom.xml><?xml version="1.0" encoding="utf-8"?>
<Properties xmlns="http://schemas.openxmlformats.org/officeDocument/2006/custom-properties" xmlns:vt="http://schemas.openxmlformats.org/officeDocument/2006/docPropsVTypes"/>
</file>