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Wrds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2025.6.7</w:t>
      </w:r>
    </w:p>
    <w:p w:rsidR="00000000" w:rsidDel="00000000" w:rsidP="00000000" w:rsidRDefault="00000000" w:rsidRPr="00000000" w14:paraId="00000004">
      <w:pPr>
        <w:numPr>
          <w:ilvl w:val="0"/>
          <w:numId w:val="1"/>
        </w:numPr>
        <w:shd w:fill="f8f8f8" w:val="clear"/>
        <w:ind w:left="720" w:hanging="360"/>
        <w:rPr>
          <w:color w:val="1d1c1d"/>
          <w:sz w:val="23"/>
          <w:szCs w:val="23"/>
          <w:u w:val="none"/>
        </w:rPr>
      </w:pPr>
      <w:r w:rsidDel="00000000" w:rsidR="00000000" w:rsidRPr="00000000">
        <w:rPr>
          <w:color w:val="1d1c1d"/>
          <w:sz w:val="23"/>
          <w:szCs w:val="23"/>
          <w:rtl w:val="0"/>
        </w:rPr>
        <w:t xml:space="preserve">Can you give us some more detail about the components and name of the SPY fund? Is the fund market cap weighted? Basically as much detail as you can provide about how the fund is constructed.</w:t>
      </w:r>
    </w:p>
    <w:p w:rsidR="00000000" w:rsidDel="00000000" w:rsidP="00000000" w:rsidRDefault="00000000" w:rsidRPr="00000000" w14:paraId="00000005">
      <w:pPr>
        <w:shd w:fill="f8f8f8" w:val="clear"/>
        <w:ind w:left="720" w:firstLine="0"/>
        <w:rPr>
          <w:color w:val="1d1c1d"/>
          <w:sz w:val="23"/>
          <w:szCs w:val="23"/>
        </w:rPr>
      </w:pPr>
      <w:r w:rsidDel="00000000" w:rsidR="00000000" w:rsidRPr="00000000">
        <w:rPr>
          <w:rtl w:val="0"/>
        </w:rPr>
      </w:r>
    </w:p>
    <w:p w:rsidR="00000000" w:rsidDel="00000000" w:rsidP="00000000" w:rsidRDefault="00000000" w:rsidRPr="00000000" w14:paraId="00000006">
      <w:pPr>
        <w:shd w:fill="f8f8f8" w:val="clear"/>
        <w:ind w:left="720" w:firstLine="0"/>
        <w:rPr>
          <w:color w:val="1d1c1d"/>
          <w:sz w:val="23"/>
          <w:szCs w:val="23"/>
        </w:rPr>
      </w:pPr>
      <w:r w:rsidDel="00000000" w:rsidR="00000000" w:rsidRPr="00000000">
        <w:rPr>
          <w:color w:val="1d1c1d"/>
          <w:sz w:val="23"/>
          <w:szCs w:val="23"/>
          <w:rtl w:val="0"/>
        </w:rPr>
        <w:t xml:space="preserve">All information from </w:t>
      </w:r>
      <w:hyperlink r:id="rId6">
        <w:r w:rsidDel="00000000" w:rsidR="00000000" w:rsidRPr="00000000">
          <w:rPr>
            <w:color w:val="1155cc"/>
            <w:sz w:val="23"/>
            <w:szCs w:val="23"/>
            <w:u w:val="single"/>
            <w:rtl w:val="0"/>
          </w:rPr>
          <w:t xml:space="preserve">SPDR S&amp;P 500 ETF (SPY)</w:t>
        </w:r>
      </w:hyperlink>
      <w:r w:rsidDel="00000000" w:rsidR="00000000" w:rsidRPr="00000000">
        <w:rPr>
          <w:rtl w:val="0"/>
        </w:rPr>
      </w:r>
    </w:p>
    <w:p w:rsidR="00000000" w:rsidDel="00000000" w:rsidP="00000000" w:rsidRDefault="00000000" w:rsidRPr="00000000" w14:paraId="00000007">
      <w:pPr>
        <w:shd w:fill="f8f8f8" w:val="clear"/>
        <w:ind w:left="720" w:firstLine="0"/>
        <w:rPr>
          <w:color w:val="1d1c1d"/>
          <w:sz w:val="23"/>
          <w:szCs w:val="23"/>
        </w:rPr>
      </w:pPr>
      <w:r w:rsidDel="00000000" w:rsidR="00000000" w:rsidRPr="00000000">
        <w:rPr>
          <w:rtl w:val="0"/>
        </w:rPr>
      </w:r>
    </w:p>
    <w:p w:rsidR="00000000" w:rsidDel="00000000" w:rsidP="00000000" w:rsidRDefault="00000000" w:rsidRPr="00000000" w14:paraId="00000008">
      <w:pPr>
        <w:shd w:fill="f8f8f8" w:val="clear"/>
        <w:ind w:left="720" w:firstLine="0"/>
        <w:rPr>
          <w:color w:val="1d1c1d"/>
          <w:sz w:val="23"/>
          <w:szCs w:val="23"/>
        </w:rPr>
      </w:pPr>
      <w:r w:rsidDel="00000000" w:rsidR="00000000" w:rsidRPr="00000000">
        <w:rPr>
          <w:b w:val="1"/>
          <w:color w:val="1d1c1d"/>
          <w:sz w:val="23"/>
          <w:szCs w:val="23"/>
          <w:rtl w:val="0"/>
        </w:rPr>
        <w:t xml:space="preserve">Fund Objective</w:t>
      </w:r>
      <w:r w:rsidDel="00000000" w:rsidR="00000000" w:rsidRPr="00000000">
        <w:rPr>
          <w:color w:val="1d1c1d"/>
          <w:sz w:val="23"/>
          <w:szCs w:val="23"/>
          <w:rtl w:val="0"/>
        </w:rPr>
        <w:t xml:space="preserve">: </w:t>
      </w:r>
    </w:p>
    <w:p w:rsidR="00000000" w:rsidDel="00000000" w:rsidP="00000000" w:rsidRDefault="00000000" w:rsidRPr="00000000" w14:paraId="00000009">
      <w:pPr>
        <w:shd w:fill="f8f8f8" w:val="clear"/>
        <w:ind w:left="720" w:firstLine="0"/>
        <w:rPr>
          <w:color w:val="1d1c1d"/>
          <w:sz w:val="23"/>
          <w:szCs w:val="23"/>
        </w:rPr>
      </w:pPr>
      <w:r w:rsidDel="00000000" w:rsidR="00000000" w:rsidRPr="00000000">
        <w:rPr>
          <w:color w:val="1d1c1d"/>
          <w:sz w:val="23"/>
          <w:szCs w:val="23"/>
          <w:rtl w:val="0"/>
        </w:rPr>
        <w:t xml:space="preserve">The SPDR® S&amp;P 500® ETF seeks to provide investment results that, before expenses, correspond generally to the price and yield performance of the S&amp;P 500® Index.</w:t>
      </w:r>
    </w:p>
    <w:p w:rsidR="00000000" w:rsidDel="00000000" w:rsidP="00000000" w:rsidRDefault="00000000" w:rsidRPr="00000000" w14:paraId="0000000A">
      <w:pPr>
        <w:shd w:fill="f8f8f8" w:val="clear"/>
        <w:ind w:left="720" w:firstLine="0"/>
        <w:rPr>
          <w:color w:val="1d1c1d"/>
          <w:sz w:val="23"/>
          <w:szCs w:val="23"/>
        </w:rPr>
      </w:pPr>
      <w:r w:rsidDel="00000000" w:rsidR="00000000" w:rsidRPr="00000000">
        <w:rPr>
          <w:color w:val="1d1c1d"/>
          <w:sz w:val="23"/>
          <w:szCs w:val="23"/>
          <w:rtl w:val="0"/>
        </w:rPr>
        <w:t xml:space="preserve">The S&amp;P 500® is widely regarded as the best single gauge of large-cap U.S. equities. The index includes ~500 leading companies and captures approximately 80% coverage of available market capitalisation.</w:t>
      </w:r>
    </w:p>
    <w:p w:rsidR="00000000" w:rsidDel="00000000" w:rsidP="00000000" w:rsidRDefault="00000000" w:rsidRPr="00000000" w14:paraId="0000000B">
      <w:pPr>
        <w:shd w:fill="f8f8f8" w:val="clear"/>
        <w:ind w:left="720" w:firstLine="0"/>
        <w:rPr>
          <w:color w:val="1d1c1d"/>
          <w:sz w:val="23"/>
          <w:szCs w:val="23"/>
        </w:rPr>
      </w:pPr>
      <w:r w:rsidDel="00000000" w:rsidR="00000000" w:rsidRPr="00000000">
        <w:rPr>
          <w:rtl w:val="0"/>
        </w:rPr>
      </w:r>
    </w:p>
    <w:p w:rsidR="00000000" w:rsidDel="00000000" w:rsidP="00000000" w:rsidRDefault="00000000" w:rsidRPr="00000000" w14:paraId="0000000C">
      <w:pPr>
        <w:shd w:fill="f8f8f8" w:val="clear"/>
        <w:ind w:left="720" w:firstLine="0"/>
        <w:rPr>
          <w:color w:val="1d1c1d"/>
          <w:sz w:val="23"/>
          <w:szCs w:val="23"/>
        </w:rPr>
      </w:pPr>
      <w:r w:rsidDel="00000000" w:rsidR="00000000" w:rsidRPr="00000000">
        <w:rPr>
          <w:color w:val="1d1c1d"/>
          <w:sz w:val="23"/>
          <w:szCs w:val="23"/>
          <w:rtl w:val="0"/>
        </w:rPr>
        <w:t xml:space="preserve">SPY is market cap weighted, the top 10 holdings are as followed, and the all holding is downloaded separately(daily updated):</w:t>
      </w:r>
    </w:p>
    <w:p w:rsidR="00000000" w:rsidDel="00000000" w:rsidP="00000000" w:rsidRDefault="00000000" w:rsidRPr="00000000" w14:paraId="0000000D">
      <w:pPr>
        <w:shd w:fill="f8f8f8" w:val="clear"/>
        <w:ind w:left="720" w:firstLine="0"/>
        <w:rPr>
          <w:color w:val="1d1c1d"/>
          <w:sz w:val="23"/>
          <w:szCs w:val="23"/>
        </w:rPr>
      </w:pPr>
      <w:r w:rsidDel="00000000" w:rsidR="00000000" w:rsidRPr="00000000">
        <w:rPr>
          <w:rtl w:val="0"/>
        </w:rPr>
      </w:r>
    </w:p>
    <w:p w:rsidR="00000000" w:rsidDel="00000000" w:rsidP="00000000" w:rsidRDefault="00000000" w:rsidRPr="00000000" w14:paraId="0000000E">
      <w:pPr>
        <w:shd w:fill="f8f8f8" w:val="clear"/>
        <w:ind w:left="720" w:firstLine="0"/>
        <w:rPr>
          <w:color w:val="1d1c1d"/>
          <w:sz w:val="23"/>
          <w:szCs w:val="23"/>
        </w:rPr>
      </w:pPr>
      <w:r w:rsidDel="00000000" w:rsidR="00000000" w:rsidRPr="00000000">
        <w:rPr>
          <w:color w:val="1d1c1d"/>
          <w:sz w:val="23"/>
          <w:szCs w:val="23"/>
          <w:rtl w:val="0"/>
        </w:rPr>
        <w:t xml:space="preserve">Fund Top 10 Holdings as of 10 Jun 2025</w:t>
      </w:r>
    </w:p>
    <w:p w:rsidR="00000000" w:rsidDel="00000000" w:rsidP="00000000" w:rsidRDefault="00000000" w:rsidRPr="00000000" w14:paraId="0000000F">
      <w:pPr>
        <w:shd w:fill="f8f8f8" w:val="clear"/>
        <w:ind w:left="720" w:firstLine="0"/>
        <w:rPr>
          <w:color w:val="1d1c1d"/>
          <w:sz w:val="23"/>
          <w:szCs w:val="23"/>
        </w:rPr>
      </w:pPr>
      <w:r w:rsidDel="00000000" w:rsidR="00000000" w:rsidRPr="00000000">
        <w:rPr>
          <w:color w:val="1d1c1d"/>
          <w:sz w:val="23"/>
          <w:szCs w:val="23"/>
          <w:rtl w:val="0"/>
        </w:rPr>
        <w:t xml:space="preserve">Name</w:t>
        <w:tab/>
        <w:t xml:space="preserve">                                                       Weight</w:t>
      </w:r>
    </w:p>
    <w:p w:rsidR="00000000" w:rsidDel="00000000" w:rsidP="00000000" w:rsidRDefault="00000000" w:rsidRPr="00000000" w14:paraId="00000010">
      <w:pPr>
        <w:shd w:fill="f8f8f8" w:val="clear"/>
        <w:ind w:left="720" w:firstLine="0"/>
        <w:rPr>
          <w:color w:val="1d1c1d"/>
          <w:sz w:val="23"/>
          <w:szCs w:val="23"/>
        </w:rPr>
      </w:pPr>
      <w:r w:rsidDel="00000000" w:rsidR="00000000" w:rsidRPr="00000000">
        <w:rPr>
          <w:color w:val="1d1c1d"/>
          <w:sz w:val="23"/>
          <w:szCs w:val="23"/>
          <w:rtl w:val="0"/>
        </w:rPr>
        <w:t xml:space="preserve">MICROSOFT CORP</w:t>
        <w:tab/>
        <w:t xml:space="preserve">                                 6.86%</w:t>
      </w:r>
    </w:p>
    <w:p w:rsidR="00000000" w:rsidDel="00000000" w:rsidP="00000000" w:rsidRDefault="00000000" w:rsidRPr="00000000" w14:paraId="00000011">
      <w:pPr>
        <w:shd w:fill="f8f8f8" w:val="clear"/>
        <w:ind w:left="720" w:firstLine="0"/>
        <w:rPr>
          <w:color w:val="1d1c1d"/>
          <w:sz w:val="23"/>
          <w:szCs w:val="23"/>
        </w:rPr>
      </w:pPr>
      <w:r w:rsidDel="00000000" w:rsidR="00000000" w:rsidRPr="00000000">
        <w:rPr>
          <w:color w:val="1d1c1d"/>
          <w:sz w:val="23"/>
          <w:szCs w:val="23"/>
          <w:rtl w:val="0"/>
        </w:rPr>
        <w:t xml:space="preserve">NVIDIA CORP</w:t>
        <w:tab/>
        <w:t xml:space="preserve">                                 6.81%</w:t>
      </w:r>
    </w:p>
    <w:p w:rsidR="00000000" w:rsidDel="00000000" w:rsidP="00000000" w:rsidRDefault="00000000" w:rsidRPr="00000000" w14:paraId="00000012">
      <w:pPr>
        <w:shd w:fill="f8f8f8" w:val="clear"/>
        <w:ind w:left="720" w:firstLine="0"/>
        <w:rPr>
          <w:color w:val="1d1c1d"/>
          <w:sz w:val="23"/>
          <w:szCs w:val="23"/>
        </w:rPr>
      </w:pPr>
      <w:r w:rsidDel="00000000" w:rsidR="00000000" w:rsidRPr="00000000">
        <w:rPr>
          <w:color w:val="1d1c1d"/>
          <w:sz w:val="23"/>
          <w:szCs w:val="23"/>
          <w:rtl w:val="0"/>
        </w:rPr>
        <w:t xml:space="preserve">APPLE INC</w:t>
        <w:tab/>
        <w:t xml:space="preserve">                                             5.93%</w:t>
      </w:r>
    </w:p>
    <w:p w:rsidR="00000000" w:rsidDel="00000000" w:rsidP="00000000" w:rsidRDefault="00000000" w:rsidRPr="00000000" w14:paraId="00000013">
      <w:pPr>
        <w:shd w:fill="f8f8f8" w:val="clear"/>
        <w:ind w:left="720" w:firstLine="0"/>
        <w:rPr>
          <w:color w:val="1d1c1d"/>
          <w:sz w:val="23"/>
          <w:szCs w:val="23"/>
        </w:rPr>
      </w:pPr>
      <w:r w:rsidDel="00000000" w:rsidR="00000000" w:rsidRPr="00000000">
        <w:rPr>
          <w:color w:val="1d1c1d"/>
          <w:sz w:val="23"/>
          <w:szCs w:val="23"/>
          <w:rtl w:val="0"/>
        </w:rPr>
        <w:t xml:space="preserve">AMAZON.COM INC</w:t>
        <w:tab/>
        <w:t xml:space="preserve">                                  4.00%</w:t>
      </w:r>
    </w:p>
    <w:p w:rsidR="00000000" w:rsidDel="00000000" w:rsidP="00000000" w:rsidRDefault="00000000" w:rsidRPr="00000000" w14:paraId="00000014">
      <w:pPr>
        <w:shd w:fill="f8f8f8" w:val="clear"/>
        <w:ind w:left="720" w:firstLine="0"/>
        <w:rPr>
          <w:color w:val="1d1c1d"/>
          <w:sz w:val="23"/>
          <w:szCs w:val="23"/>
        </w:rPr>
      </w:pPr>
      <w:r w:rsidDel="00000000" w:rsidR="00000000" w:rsidRPr="00000000">
        <w:rPr>
          <w:color w:val="1d1c1d"/>
          <w:sz w:val="23"/>
          <w:szCs w:val="23"/>
          <w:rtl w:val="0"/>
        </w:rPr>
        <w:t xml:space="preserve">META PLATFORMS INC CLASS A</w:t>
        <w:tab/>
        <w:t xml:space="preserve">            2.99%</w:t>
      </w:r>
    </w:p>
    <w:p w:rsidR="00000000" w:rsidDel="00000000" w:rsidP="00000000" w:rsidRDefault="00000000" w:rsidRPr="00000000" w14:paraId="00000015">
      <w:pPr>
        <w:shd w:fill="f8f8f8" w:val="clear"/>
        <w:ind w:left="720" w:firstLine="0"/>
        <w:rPr>
          <w:color w:val="1d1c1d"/>
          <w:sz w:val="23"/>
          <w:szCs w:val="23"/>
        </w:rPr>
      </w:pPr>
      <w:r w:rsidDel="00000000" w:rsidR="00000000" w:rsidRPr="00000000">
        <w:rPr>
          <w:color w:val="1d1c1d"/>
          <w:sz w:val="23"/>
          <w:szCs w:val="23"/>
          <w:rtl w:val="0"/>
        </w:rPr>
        <w:t xml:space="preserve">BROADCOM INC</w:t>
        <w:tab/>
        <w:t xml:space="preserve">                                  2.23%</w:t>
      </w:r>
    </w:p>
    <w:p w:rsidR="00000000" w:rsidDel="00000000" w:rsidP="00000000" w:rsidRDefault="00000000" w:rsidRPr="00000000" w14:paraId="00000016">
      <w:pPr>
        <w:shd w:fill="f8f8f8" w:val="clear"/>
        <w:ind w:left="720" w:firstLine="0"/>
        <w:rPr>
          <w:color w:val="1d1c1d"/>
          <w:sz w:val="23"/>
          <w:szCs w:val="23"/>
        </w:rPr>
      </w:pPr>
      <w:r w:rsidDel="00000000" w:rsidR="00000000" w:rsidRPr="00000000">
        <w:rPr>
          <w:color w:val="1d1c1d"/>
          <w:sz w:val="23"/>
          <w:szCs w:val="23"/>
          <w:rtl w:val="0"/>
        </w:rPr>
        <w:t xml:space="preserve">ALPHABET INC CL A</w:t>
        <w:tab/>
        <w:t xml:space="preserve">                       2.03%</w:t>
      </w:r>
    </w:p>
    <w:p w:rsidR="00000000" w:rsidDel="00000000" w:rsidP="00000000" w:rsidRDefault="00000000" w:rsidRPr="00000000" w14:paraId="00000017">
      <w:pPr>
        <w:shd w:fill="f8f8f8" w:val="clear"/>
        <w:ind w:left="720" w:firstLine="0"/>
        <w:rPr>
          <w:color w:val="1d1c1d"/>
          <w:sz w:val="23"/>
          <w:szCs w:val="23"/>
        </w:rPr>
      </w:pPr>
      <w:r w:rsidDel="00000000" w:rsidR="00000000" w:rsidRPr="00000000">
        <w:rPr>
          <w:color w:val="1d1c1d"/>
          <w:sz w:val="23"/>
          <w:szCs w:val="23"/>
          <w:rtl w:val="0"/>
        </w:rPr>
        <w:t xml:space="preserve">TESLA INC</w:t>
        <w:tab/>
        <w:t xml:space="preserve">                                             1.78%</w:t>
      </w:r>
    </w:p>
    <w:p w:rsidR="00000000" w:rsidDel="00000000" w:rsidP="00000000" w:rsidRDefault="00000000" w:rsidRPr="00000000" w14:paraId="00000018">
      <w:pPr>
        <w:shd w:fill="f8f8f8" w:val="clear"/>
        <w:ind w:left="720" w:firstLine="0"/>
        <w:rPr>
          <w:color w:val="1d1c1d"/>
          <w:sz w:val="23"/>
          <w:szCs w:val="23"/>
        </w:rPr>
      </w:pPr>
      <w:r w:rsidDel="00000000" w:rsidR="00000000" w:rsidRPr="00000000">
        <w:rPr>
          <w:color w:val="1d1c1d"/>
          <w:sz w:val="23"/>
          <w:szCs w:val="23"/>
          <w:rtl w:val="0"/>
        </w:rPr>
        <w:t xml:space="preserve">BERKSHIRE HATHAWAY INC CL B</w:t>
        <w:tab/>
        <w:t xml:space="preserve">1.75%</w:t>
      </w:r>
    </w:p>
    <w:p w:rsidR="00000000" w:rsidDel="00000000" w:rsidP="00000000" w:rsidRDefault="00000000" w:rsidRPr="00000000" w14:paraId="00000019">
      <w:pPr>
        <w:shd w:fill="f8f8f8" w:val="clear"/>
        <w:ind w:left="720" w:firstLine="0"/>
        <w:rPr>
          <w:color w:val="1d1c1d"/>
          <w:sz w:val="23"/>
          <w:szCs w:val="23"/>
        </w:rPr>
      </w:pPr>
      <w:r w:rsidDel="00000000" w:rsidR="00000000" w:rsidRPr="00000000">
        <w:rPr>
          <w:color w:val="1d1c1d"/>
          <w:sz w:val="23"/>
          <w:szCs w:val="23"/>
          <w:rtl w:val="0"/>
        </w:rPr>
        <w:t xml:space="preserve">ALPHABET INC CL C</w:t>
        <w:tab/>
        <w:t xml:space="preserve">                       1.66%</w:t>
      </w:r>
    </w:p>
    <w:p w:rsidR="00000000" w:rsidDel="00000000" w:rsidP="00000000" w:rsidRDefault="00000000" w:rsidRPr="00000000" w14:paraId="0000001A">
      <w:pPr>
        <w:shd w:fill="f8f8f8" w:val="clear"/>
        <w:ind w:left="720" w:firstLine="0"/>
        <w:rPr>
          <w:color w:val="1d1c1d"/>
          <w:sz w:val="23"/>
          <w:szCs w:val="23"/>
        </w:rPr>
      </w:pPr>
      <w:r w:rsidDel="00000000" w:rsidR="00000000" w:rsidRPr="00000000">
        <w:rPr>
          <w:rtl w:val="0"/>
        </w:rPr>
      </w:r>
    </w:p>
    <w:p w:rsidR="00000000" w:rsidDel="00000000" w:rsidP="00000000" w:rsidRDefault="00000000" w:rsidRPr="00000000" w14:paraId="0000001B">
      <w:pPr>
        <w:shd w:fill="f8f8f8" w:val="clear"/>
        <w:ind w:left="720" w:firstLine="0"/>
        <w:rPr>
          <w:color w:val="1d1c1d"/>
          <w:sz w:val="23"/>
          <w:szCs w:val="23"/>
        </w:rPr>
      </w:pPr>
      <w:r w:rsidDel="00000000" w:rsidR="00000000" w:rsidRPr="00000000">
        <w:rPr>
          <w:rtl w:val="0"/>
        </w:rPr>
      </w:r>
    </w:p>
    <w:p w:rsidR="00000000" w:rsidDel="00000000" w:rsidP="00000000" w:rsidRDefault="00000000" w:rsidRPr="00000000" w14:paraId="0000001C">
      <w:pPr>
        <w:numPr>
          <w:ilvl w:val="0"/>
          <w:numId w:val="1"/>
        </w:numPr>
        <w:shd w:fill="ffffff" w:val="clear"/>
        <w:ind w:left="720" w:hanging="360"/>
        <w:rPr>
          <w:color w:val="1d1c1d"/>
          <w:sz w:val="23"/>
          <w:szCs w:val="23"/>
        </w:rPr>
      </w:pPr>
      <w:r w:rsidDel="00000000" w:rsidR="00000000" w:rsidRPr="00000000">
        <w:rPr>
          <w:color w:val="1d1c1d"/>
          <w:sz w:val="23"/>
          <w:szCs w:val="23"/>
          <w:rtl w:val="0"/>
        </w:rPr>
        <w:t xml:space="preserve">Can you collect the details needed for 3-4 factor FF/Carhart models?</w:t>
      </w:r>
    </w:p>
    <w:p w:rsidR="00000000" w:rsidDel="00000000" w:rsidP="00000000" w:rsidRDefault="00000000" w:rsidRPr="00000000" w14:paraId="0000001D">
      <w:pPr>
        <w:shd w:fill="f8f8f8" w:val="clear"/>
        <w:ind w:left="720" w:firstLine="0"/>
        <w:rPr>
          <w:color w:val="1d1c1d"/>
          <w:sz w:val="23"/>
          <w:szCs w:val="23"/>
        </w:rPr>
      </w:pPr>
      <w:r w:rsidDel="00000000" w:rsidR="00000000" w:rsidRPr="00000000">
        <w:rPr>
          <w:b w:val="1"/>
          <w:color w:val="1d1c1d"/>
          <w:sz w:val="23"/>
          <w:szCs w:val="23"/>
          <w:rtl w:val="0"/>
        </w:rPr>
        <w:t xml:space="preserve">Mktrf</w:t>
      </w:r>
      <w:r w:rsidDel="00000000" w:rsidR="00000000" w:rsidRPr="00000000">
        <w:rPr>
          <w:color w:val="1d1c1d"/>
          <w:sz w:val="23"/>
          <w:szCs w:val="23"/>
          <w:rtl w:val="0"/>
        </w:rPr>
        <w:t xml:space="preserve">: Market Risk Premium (MKT-RF) – the excess return of the market portfolio over the risk-free rate. Calculated as: Market return – Risk-free rate.</w:t>
      </w:r>
    </w:p>
    <w:p w:rsidR="00000000" w:rsidDel="00000000" w:rsidP="00000000" w:rsidRDefault="00000000" w:rsidRPr="00000000" w14:paraId="0000001E">
      <w:pPr>
        <w:shd w:fill="f8f8f8" w:val="clear"/>
        <w:ind w:left="720" w:firstLine="0"/>
        <w:rPr>
          <w:color w:val="1d1c1d"/>
          <w:sz w:val="23"/>
          <w:szCs w:val="23"/>
        </w:rPr>
      </w:pPr>
      <w:r w:rsidDel="00000000" w:rsidR="00000000" w:rsidRPr="00000000">
        <w:rPr>
          <w:b w:val="1"/>
          <w:color w:val="1d1c1d"/>
          <w:sz w:val="23"/>
          <w:szCs w:val="23"/>
          <w:rtl w:val="0"/>
        </w:rPr>
        <w:t xml:space="preserve">Smb</w:t>
      </w:r>
      <w:r w:rsidDel="00000000" w:rsidR="00000000" w:rsidRPr="00000000">
        <w:rPr>
          <w:color w:val="1d1c1d"/>
          <w:sz w:val="23"/>
          <w:szCs w:val="23"/>
          <w:rtl w:val="0"/>
        </w:rPr>
        <w:t xml:space="preserve">: Small Minus Big (SMB) – the return spread between small-cap and large-cap stocks. Captures the size effect.</w:t>
      </w:r>
    </w:p>
    <w:p w:rsidR="00000000" w:rsidDel="00000000" w:rsidP="00000000" w:rsidRDefault="00000000" w:rsidRPr="00000000" w14:paraId="0000001F">
      <w:pPr>
        <w:shd w:fill="f8f8f8" w:val="clear"/>
        <w:ind w:left="720" w:firstLine="0"/>
        <w:rPr>
          <w:color w:val="1d1c1d"/>
          <w:sz w:val="23"/>
          <w:szCs w:val="23"/>
        </w:rPr>
      </w:pPr>
      <w:r w:rsidDel="00000000" w:rsidR="00000000" w:rsidRPr="00000000">
        <w:rPr>
          <w:b w:val="1"/>
          <w:color w:val="1d1c1d"/>
          <w:sz w:val="23"/>
          <w:szCs w:val="23"/>
          <w:rtl w:val="0"/>
        </w:rPr>
        <w:t xml:space="preserve">Hml: </w:t>
      </w:r>
      <w:r w:rsidDel="00000000" w:rsidR="00000000" w:rsidRPr="00000000">
        <w:rPr>
          <w:color w:val="1d1c1d"/>
          <w:sz w:val="23"/>
          <w:szCs w:val="23"/>
          <w:rtl w:val="0"/>
        </w:rPr>
        <w:t xml:space="preserve">High Minus Low (HML) – the return spread between high book-to-market (value) stocks and low book-to-market (growth) stocks. Captures the value effect.</w:t>
      </w:r>
    </w:p>
    <w:p w:rsidR="00000000" w:rsidDel="00000000" w:rsidP="00000000" w:rsidRDefault="00000000" w:rsidRPr="00000000" w14:paraId="00000020">
      <w:pPr>
        <w:shd w:fill="f8f8f8" w:val="clear"/>
        <w:ind w:left="720" w:firstLine="0"/>
        <w:rPr>
          <w:color w:val="1d1c1d"/>
          <w:sz w:val="23"/>
          <w:szCs w:val="23"/>
        </w:rPr>
      </w:pPr>
      <w:r w:rsidDel="00000000" w:rsidR="00000000" w:rsidRPr="00000000">
        <w:rPr>
          <w:b w:val="1"/>
          <w:color w:val="1d1c1d"/>
          <w:sz w:val="23"/>
          <w:szCs w:val="23"/>
          <w:rtl w:val="0"/>
        </w:rPr>
        <w:t xml:space="preserve">Rf:</w:t>
      </w:r>
      <w:r w:rsidDel="00000000" w:rsidR="00000000" w:rsidRPr="00000000">
        <w:rPr>
          <w:color w:val="1d1c1d"/>
          <w:sz w:val="23"/>
          <w:szCs w:val="23"/>
          <w:rtl w:val="0"/>
        </w:rPr>
        <w:t xml:space="preserve"> Risk-Free Rate. Used to calculate excess returns.</w:t>
      </w:r>
    </w:p>
    <w:p w:rsidR="00000000" w:rsidDel="00000000" w:rsidP="00000000" w:rsidRDefault="00000000" w:rsidRPr="00000000" w14:paraId="00000021">
      <w:pPr>
        <w:shd w:fill="f8f8f8" w:val="clear"/>
        <w:ind w:left="720" w:firstLine="0"/>
        <w:rPr>
          <w:color w:val="1d1c1d"/>
          <w:sz w:val="23"/>
          <w:szCs w:val="23"/>
        </w:rPr>
      </w:pPr>
      <w:r w:rsidDel="00000000" w:rsidR="00000000" w:rsidRPr="00000000">
        <w:rPr>
          <w:b w:val="1"/>
          <w:color w:val="1d1c1d"/>
          <w:sz w:val="23"/>
          <w:szCs w:val="23"/>
          <w:rtl w:val="0"/>
        </w:rPr>
        <w:t xml:space="preserve">Umd</w:t>
      </w:r>
      <w:r w:rsidDel="00000000" w:rsidR="00000000" w:rsidRPr="00000000">
        <w:rPr>
          <w:color w:val="1d1c1d"/>
          <w:sz w:val="23"/>
          <w:szCs w:val="23"/>
          <w:rtl w:val="0"/>
        </w:rPr>
        <w:t xml:space="preserve">: Up Minus Down (Momentum factor) – the return spread between past 12-month winners and losers. Captures the momentum effect. For 4 factor models.</w:t>
      </w:r>
    </w:p>
    <w:p w:rsidR="00000000" w:rsidDel="00000000" w:rsidP="00000000" w:rsidRDefault="00000000" w:rsidRPr="00000000" w14:paraId="00000022">
      <w:pPr>
        <w:shd w:fill="f8f8f8" w:val="clear"/>
        <w:ind w:left="720" w:firstLine="0"/>
        <w:rPr/>
      </w:pPr>
      <w:r w:rsidDel="00000000" w:rsidR="00000000" w:rsidRPr="00000000">
        <w:rPr>
          <w:b w:val="1"/>
          <w:color w:val="1d1c1d"/>
          <w:sz w:val="23"/>
          <w:szCs w:val="23"/>
          <w:rtl w:val="0"/>
        </w:rPr>
        <w:t xml:space="preserve">Dateff</w:t>
      </w:r>
      <w:r w:rsidDel="00000000" w:rsidR="00000000" w:rsidRPr="00000000">
        <w:rPr>
          <w:color w:val="1d1c1d"/>
          <w:sz w:val="23"/>
          <w:szCs w:val="23"/>
          <w:rtl w:val="0"/>
        </w:rPr>
        <w:t xml:space="preserve">: End-of-month reference 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sga.com/au/en_gb/intermediary/etfs/spdr-sp-500-etf-sp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