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80" w:after="180"/>
      </w:pPr>
      <w:r>
        <w:rPr>
          <w:b/>
          <w:sz w:val="32"/>
        </w:rPr>
        <w:t xml:space="preserve">Get-Rescue — Distances &amp; Times: Implementation Status</w:t>
      </w:r>
    </w:p>
    <w:p>
      <w:pPr>
        <w:spacing w:before="110" w:after="110"/>
      </w:pPr>
      <w:r>
        <w:t xml:space="preserve">Prepared 8 October 2026, in reply to your edited specification. </w:t>
      </w:r>
      <w:r>
        <w:rPr>
          <w:highlight w:val="yellow"/>
        </w:rPr>
        <w:t xml:space="preserve">Yellow marks what has changed since your document was written, or what needs a decision from you.</w:t>
      </w:r>
      <w:r>
        <w:t xml:space="preserve"> Everything not highlighted is already live and unchanged.</w:t>
      </w:r>
    </w:p>
    <w:p>
      <w:pPr>
        <w:spacing w:before="200" w:after="200"/>
      </w:pPr>
      <w:r>
        <w:rPr>
          <w:b/>
          <w:sz w:val="25"/>
        </w:rPr>
        <w:t xml:space="preserve">1. Location data (A–H)</w:t>
      </w:r>
    </w:p>
    <w:p>
      <w:pPr>
        <w:spacing w:before="110" w:after="110"/>
      </w:pPr>
      <w:r>
        <w:t xml:space="preserve">Two rows in your table are marked NOT CAPTURED. Both are in fact captured and saved, and have been since 11 September. The field names are given so they can be checked directly in Zoho.</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700"/>
        <w:gridCol w:w="2400"/>
        <w:gridCol w:w="3600"/>
        <w:gridCol w:w="3400"/>
        <w:gridCol w:w="3100"/>
      </w:tblGrid>
      <w:tr>
        <w:tc>
          <w:tcPr>
            <w:tcW w:w="700" w:type="dxa"/>
            <w:shd w:val="clear" w:fill="EDEDED"/>
          </w:tcPr>
          <w:p>
            <w:pPr>
              <w:spacing w:before="40" w:after="40"/>
            </w:pPr>
            <w:r>
              <w:rPr>
                <w:b/>
              </w:rPr>
              <w:t xml:space="preserve">Var</w:t>
            </w:r>
          </w:p>
        </w:tc>
        <w:tc>
          <w:tcPr>
            <w:tcW w:w="2400" w:type="dxa"/>
            <w:shd w:val="clear" w:fill="EDEDED"/>
          </w:tcPr>
          <w:p>
            <w:pPr>
              <w:spacing w:before="40" w:after="40"/>
            </w:pPr>
            <w:r>
              <w:rPr>
                <w:b/>
              </w:rPr>
              <w:t xml:space="preserve">Location</w:t>
            </w:r>
          </w:p>
        </w:tc>
        <w:tc>
          <w:tcPr>
            <w:tcW w:w="3600" w:type="dxa"/>
            <w:shd w:val="clear" w:fill="EDEDED"/>
          </w:tcPr>
          <w:p>
            <w:pPr>
              <w:spacing w:before="40" w:after="40"/>
            </w:pPr>
            <w:r>
              <w:rPr>
                <w:b/>
              </w:rPr>
              <w:t xml:space="preserve">Field(s) in Create_Case</w:t>
            </w:r>
          </w:p>
        </w:tc>
        <w:tc>
          <w:tcPr>
            <w:tcW w:w="3400" w:type="dxa"/>
            <w:shd w:val="clear" w:fill="EDEDED"/>
          </w:tcPr>
          <w:p>
            <w:pPr>
              <w:spacing w:before="40" w:after="40"/>
            </w:pPr>
            <w:r>
              <w:rPr>
                <w:b/>
              </w:rPr>
              <w:t xml:space="preserve">Written when</w:t>
            </w:r>
          </w:p>
        </w:tc>
        <w:tc>
          <w:tcPr>
            <w:tcW w:w="3100" w:type="dxa"/>
            <w:shd w:val="clear" w:fill="EDEDED"/>
          </w:tcPr>
          <w:p>
            <w:pPr>
              <w:spacing w:before="40" w:after="40"/>
            </w:pPr>
            <w:r>
              <w:rPr>
                <w:b/>
              </w:rPr>
              <w:t xml:space="preserve">Status</w:t>
            </w:r>
          </w:p>
        </w:tc>
      </w:tr>
      <w:tr>
        <w:tc>
          <w:tcPr>
            <w:tcW w:w="700" w:type="dxa"/>
          </w:tcPr>
          <w:p>
            <w:pPr>
              <w:spacing w:before="40" w:after="40"/>
            </w:pPr>
            <w:r>
              <w:t xml:space="preserve">A</w:t>
            </w:r>
          </w:p>
        </w:tc>
        <w:tc>
          <w:tcPr>
            <w:tcW w:w="2400" w:type="dxa"/>
          </w:tcPr>
          <w:p>
            <w:pPr>
              <w:spacing w:before="40" w:after="40"/>
            </w:pPr>
            <w:r>
              <w:t xml:space="preserve">Drop location (customer)</w:t>
            </w:r>
          </w:p>
        </w:tc>
        <w:tc>
          <w:tcPr>
            <w:tcW w:w="3600" w:type="dxa"/>
          </w:tcPr>
          <w:p>
            <w:pPr>
              <w:spacing w:before="40" w:after="40"/>
            </w:pPr>
            <w:r>
              <w:rPr>
                <w:rFonts w:ascii="Consolas" w:hAnsi="Consolas"/>
                <w:sz w:val="17"/>
              </w:rPr>
              <w:t xml:space="preserve">DropLocationLat</w:t>
            </w:r>
            <w:r>
              <w:t xml:space="preserve"> / </w:t>
            </w:r>
            <w:r>
              <w:rPr>
                <w:rFonts w:ascii="Consolas" w:hAnsi="Consolas"/>
                <w:sz w:val="17"/>
              </w:rPr>
              <w:t xml:space="preserve">DropLocationLong</w:t>
            </w:r>
          </w:p>
        </w:tc>
        <w:tc>
          <w:tcPr>
            <w:tcW w:w="3400" w:type="dxa"/>
          </w:tcPr>
          <w:p>
            <w:pPr>
              <w:spacing w:before="40" w:after="40"/>
            </w:pPr>
            <w:r>
              <w:t xml:space="preserve">Location page</w:t>
            </w:r>
          </w:p>
        </w:tc>
        <w:tc>
          <w:tcPr>
            <w:tcW w:w="3100" w:type="dxa"/>
          </w:tcPr>
          <w:p>
            <w:pPr>
              <w:spacing w:before="40" w:after="40"/>
            </w:pPr>
            <w:r>
              <w:t xml:space="preserve">Captured</w:t>
            </w:r>
          </w:p>
        </w:tc>
      </w:tr>
      <w:tr>
        <w:tc>
          <w:tcPr>
            <w:tcW w:w="700" w:type="dxa"/>
          </w:tcPr>
          <w:p>
            <w:pPr>
              <w:spacing w:before="40" w:after="40"/>
            </w:pPr>
            <w:r>
              <w:t xml:space="preserve">B</w:t>
            </w:r>
          </w:p>
        </w:tc>
        <w:tc>
          <w:tcPr>
            <w:tcW w:w="2400" w:type="dxa"/>
          </w:tcPr>
          <w:p>
            <w:pPr>
              <w:spacing w:before="40" w:after="40"/>
            </w:pPr>
            <w:r>
              <w:t xml:space="preserve">Vendor reach-drop location</w:t>
            </w:r>
          </w:p>
        </w:tc>
        <w:tc>
          <w:tcPr>
            <w:tcW w:w="3600" w:type="dxa"/>
          </w:tcPr>
          <w:p>
            <w:pPr>
              <w:spacing w:before="40" w:after="40"/>
            </w:pPr>
            <w:r>
              <w:rPr>
                <w:highlight w:val="yellow"/>
              </w:rPr>
              <w:t xml:space="preserve">`RSP_Drop_Latitude` / `RSP_Drop_Longitude`</w:t>
            </w:r>
          </w:p>
        </w:tc>
        <w:tc>
          <w:tcPr>
            <w:tcW w:w="3400" w:type="dxa"/>
          </w:tcPr>
          <w:p>
            <w:pPr>
              <w:spacing w:before="40" w:after="40"/>
            </w:pPr>
            <w:r>
              <w:t xml:space="preserve">Vendor taps Reached Drop</w:t>
            </w:r>
          </w:p>
        </w:tc>
        <w:tc>
          <w:tcPr>
            <w:tcW w:w="3100" w:type="dxa"/>
          </w:tcPr>
          <w:p>
            <w:pPr>
              <w:spacing w:before="40" w:after="40"/>
            </w:pPr>
            <w:r>
              <w:rPr>
                <w:highlight w:val="yellow"/>
              </w:rPr>
              <w:t xml:space="preserve">Captured — your table says NOT CAPTURED</w:t>
            </w:r>
          </w:p>
        </w:tc>
      </w:tr>
      <w:tr>
        <w:tc>
          <w:tcPr>
            <w:tcW w:w="700" w:type="dxa"/>
          </w:tcPr>
          <w:p>
            <w:pPr>
              <w:spacing w:before="40" w:after="40"/>
            </w:pPr>
            <w:r>
              <w:t xml:space="preserve">C</w:t>
            </w:r>
          </w:p>
        </w:tc>
        <w:tc>
          <w:tcPr>
            <w:tcW w:w="2400" w:type="dxa"/>
          </w:tcPr>
          <w:p>
            <w:pPr>
              <w:spacing w:before="40" w:after="40"/>
            </w:pPr>
            <w:r>
              <w:t xml:space="preserve">Breakdown location (customer)</w:t>
            </w:r>
          </w:p>
        </w:tc>
        <w:tc>
          <w:tcPr>
            <w:tcW w:w="3600" w:type="dxa"/>
          </w:tcPr>
          <w:p>
            <w:pPr>
              <w:spacing w:before="40" w:after="40"/>
            </w:pPr>
            <w:r>
              <w:rPr>
                <w:rFonts w:ascii="Consolas" w:hAnsi="Consolas"/>
                <w:sz w:val="17"/>
              </w:rPr>
              <w:t xml:space="preserve">Latitude</w:t>
            </w:r>
            <w:r>
              <w:t xml:space="preserve"> / </w:t>
            </w:r>
            <w:r>
              <w:rPr>
                <w:rFonts w:ascii="Consolas" w:hAnsi="Consolas"/>
                <w:sz w:val="17"/>
              </w:rPr>
              <w:t xml:space="preserve">Longitude</w:t>
            </w:r>
          </w:p>
        </w:tc>
        <w:tc>
          <w:tcPr>
            <w:tcW w:w="3400" w:type="dxa"/>
          </w:tcPr>
          <w:p>
            <w:pPr>
              <w:spacing w:before="40" w:after="40"/>
            </w:pPr>
            <w:r>
              <w:t xml:space="preserve">Location page</w:t>
            </w:r>
          </w:p>
        </w:tc>
        <w:tc>
          <w:tcPr>
            <w:tcW w:w="3100" w:type="dxa"/>
          </w:tcPr>
          <w:p>
            <w:pPr>
              <w:spacing w:before="40" w:after="40"/>
            </w:pPr>
            <w:r>
              <w:t xml:space="preserve">Captured</w:t>
            </w:r>
          </w:p>
        </w:tc>
      </w:tr>
      <w:tr>
        <w:tc>
          <w:tcPr>
            <w:tcW w:w="700" w:type="dxa"/>
          </w:tcPr>
          <w:p>
            <w:pPr>
              <w:spacing w:before="40" w:after="40"/>
            </w:pPr>
            <w:r>
              <w:t xml:space="preserve">D</w:t>
            </w:r>
          </w:p>
        </w:tc>
        <w:tc>
          <w:tcPr>
            <w:tcW w:w="2400" w:type="dxa"/>
          </w:tcPr>
          <w:p>
            <w:pPr>
              <w:spacing w:before="40" w:after="40"/>
            </w:pPr>
            <w:r>
              <w:t xml:space="preserve">Vendor start location</w:t>
            </w:r>
          </w:p>
        </w:tc>
        <w:tc>
          <w:tcPr>
            <w:tcW w:w="3600" w:type="dxa"/>
          </w:tcPr>
          <w:p>
            <w:pPr>
              <w:spacing w:before="40" w:after="40"/>
            </w:pPr>
            <w:r>
              <w:rPr>
                <w:rFonts w:ascii="Consolas" w:hAnsi="Consolas"/>
                <w:sz w:val="17"/>
              </w:rPr>
              <w:t xml:space="preserve">RSP_Start_Latitude</w:t>
            </w:r>
            <w:r>
              <w:t xml:space="preserve"> / </w:t>
            </w:r>
            <w:r>
              <w:rPr>
                <w:rFonts w:ascii="Consolas" w:hAnsi="Consolas"/>
                <w:sz w:val="17"/>
              </w:rPr>
              <w:t xml:space="preserve">RSP_Start_Longitude</w:t>
            </w:r>
          </w:p>
        </w:tc>
        <w:tc>
          <w:tcPr>
            <w:tcW w:w="3400" w:type="dxa"/>
          </w:tcPr>
          <w:p>
            <w:pPr>
              <w:spacing w:before="40" w:after="40"/>
            </w:pPr>
            <w:r>
              <w:t xml:space="preserve">Vendor taps Accept</w:t>
            </w:r>
          </w:p>
        </w:tc>
        <w:tc>
          <w:tcPr>
            <w:tcW w:w="3100" w:type="dxa"/>
          </w:tcPr>
          <w:p>
            <w:pPr>
              <w:spacing w:before="40" w:after="40"/>
            </w:pPr>
            <w:r>
              <w:t xml:space="preserve">Captured</w:t>
            </w:r>
          </w:p>
        </w:tc>
      </w:tr>
      <w:tr>
        <w:tc>
          <w:tcPr>
            <w:tcW w:w="700" w:type="dxa"/>
          </w:tcPr>
          <w:p>
            <w:pPr>
              <w:spacing w:before="40" w:after="40"/>
            </w:pPr>
            <w:r>
              <w:t xml:space="preserve">E</w:t>
            </w:r>
          </w:p>
        </w:tc>
        <w:tc>
          <w:tcPr>
            <w:tcW w:w="2400" w:type="dxa"/>
          </w:tcPr>
          <w:p>
            <w:pPr>
              <w:spacing w:before="40" w:after="40"/>
            </w:pPr>
            <w:r>
              <w:t xml:space="preserve">Vendor reach-BDL location</w:t>
            </w:r>
          </w:p>
        </w:tc>
        <w:tc>
          <w:tcPr>
            <w:tcW w:w="3600" w:type="dxa"/>
          </w:tcPr>
          <w:p>
            <w:pPr>
              <w:spacing w:before="40" w:after="40"/>
            </w:pPr>
            <w:r>
              <w:rPr>
                <w:highlight w:val="yellow"/>
              </w:rPr>
              <w:t xml:space="preserve">`Reach_Location_Lat` / `Reach_Location_Lon`</w:t>
            </w:r>
          </w:p>
        </w:tc>
        <w:tc>
          <w:tcPr>
            <w:tcW w:w="3400" w:type="dxa"/>
          </w:tcPr>
          <w:p>
            <w:pPr>
              <w:spacing w:before="40" w:after="40"/>
            </w:pPr>
            <w:r>
              <w:t xml:space="preserve">Vendor taps Reach</w:t>
            </w:r>
          </w:p>
        </w:tc>
        <w:tc>
          <w:tcPr>
            <w:tcW w:w="3100" w:type="dxa"/>
          </w:tcPr>
          <w:p>
            <w:pPr>
              <w:spacing w:before="40" w:after="40"/>
            </w:pPr>
            <w:r>
              <w:rPr>
                <w:highlight w:val="yellow"/>
              </w:rPr>
              <w:t xml:space="preserve">Captured — your table says NOT CAPTURED</w:t>
            </w:r>
          </w:p>
        </w:tc>
      </w:tr>
      <w:tr>
        <w:tc>
          <w:tcPr>
            <w:tcW w:w="700" w:type="dxa"/>
          </w:tcPr>
          <w:p>
            <w:pPr>
              <w:spacing w:before="40" w:after="40"/>
            </w:pPr>
            <w:r>
              <w:t xml:space="preserve">F</w:t>
            </w:r>
          </w:p>
        </w:tc>
        <w:tc>
          <w:tcPr>
            <w:tcW w:w="2400" w:type="dxa"/>
          </w:tcPr>
          <w:p>
            <w:pPr>
              <w:spacing w:before="40" w:after="40"/>
            </w:pPr>
            <w:r>
              <w:t xml:space="preserve">Vendor cancel location</w:t>
            </w:r>
          </w:p>
        </w:tc>
        <w:tc>
          <w:tcPr>
            <w:tcW w:w="3600" w:type="dxa"/>
          </w:tcPr>
          <w:p>
            <w:pPr>
              <w:spacing w:before="40" w:after="40"/>
            </w:pPr>
            <w:r>
              <w:rPr>
                <w:rFonts w:ascii="Consolas" w:hAnsi="Consolas"/>
                <w:sz w:val="17"/>
              </w:rPr>
              <w:t xml:space="preserve">Cancel_Location_Lat</w:t>
            </w:r>
            <w:r>
              <w:t xml:space="preserve"> / </w:t>
            </w:r>
            <w:r>
              <w:rPr>
                <w:rFonts w:ascii="Consolas" w:hAnsi="Consolas"/>
                <w:sz w:val="17"/>
              </w:rPr>
              <w:t xml:space="preserve">Cancel_Location_Lon</w:t>
            </w:r>
          </w:p>
        </w:tc>
        <w:tc>
          <w:tcPr>
            <w:tcW w:w="3400" w:type="dxa"/>
          </w:tcPr>
          <w:p>
            <w:pPr>
              <w:spacing w:before="40" w:after="40"/>
            </w:pPr>
            <w:r>
              <w:t xml:space="preserve">Vendor taps Cancel</w:t>
            </w:r>
          </w:p>
        </w:tc>
        <w:tc>
          <w:tcPr>
            <w:tcW w:w="3100" w:type="dxa"/>
          </w:tcPr>
          <w:p>
            <w:pPr>
              <w:spacing w:before="40" w:after="40"/>
            </w:pPr>
            <w:r>
              <w:t xml:space="preserve">Captured</w:t>
            </w:r>
          </w:p>
        </w:tc>
      </w:tr>
      <w:tr>
        <w:tc>
          <w:tcPr>
            <w:tcW w:w="700" w:type="dxa"/>
          </w:tcPr>
          <w:p>
            <w:pPr>
              <w:spacing w:before="40" w:after="40"/>
            </w:pPr>
            <w:r>
              <w:t xml:space="preserve">G</w:t>
            </w:r>
          </w:p>
        </w:tc>
        <w:tc>
          <w:tcPr>
            <w:tcW w:w="2400" w:type="dxa"/>
          </w:tcPr>
          <w:p>
            <w:pPr>
              <w:spacing w:before="40" w:after="40"/>
            </w:pPr>
            <w:r>
              <w:t xml:space="preserve">Vendor fleet location</w:t>
            </w:r>
          </w:p>
        </w:tc>
        <w:tc>
          <w:tcPr>
            <w:tcW w:w="3600" w:type="dxa"/>
          </w:tcPr>
          <w:p>
            <w:pPr>
              <w:spacing w:before="40" w:after="40"/>
            </w:pPr>
            <w:r>
              <w:rPr>
                <w:rFonts w:ascii="Consolas" w:hAnsi="Consolas"/>
                <w:sz w:val="17"/>
              </w:rPr>
              <w:t xml:space="preserve">Vendor_Fleet_Location_Lat</w:t>
            </w:r>
            <w:r>
              <w:t xml:space="preserve"> / </w:t>
            </w:r>
            <w:r>
              <w:rPr>
                <w:rFonts w:ascii="Consolas" w:hAnsi="Consolas"/>
                <w:sz w:val="17"/>
              </w:rPr>
              <w:t xml:space="preserve">_Lon</w:t>
            </w:r>
          </w:p>
        </w:tc>
        <w:tc>
          <w:tcPr>
            <w:tcW w:w="3400" w:type="dxa"/>
          </w:tcPr>
          <w:p>
            <w:pPr>
              <w:spacing w:before="40" w:after="40"/>
            </w:pPr>
            <w:r>
              <w:t xml:space="preserve">Agent Closure — nearest of Base_Location_1..5 by straight line</w:t>
            </w:r>
          </w:p>
        </w:tc>
        <w:tc>
          <w:tcPr>
            <w:tcW w:w="3100" w:type="dxa"/>
          </w:tcPr>
          <w:p>
            <w:pPr>
              <w:spacing w:before="40" w:after="40"/>
            </w:pPr>
            <w:r>
              <w:t xml:space="preserve">Captured</w:t>
            </w:r>
          </w:p>
        </w:tc>
      </w:tr>
      <w:tr>
        <w:tc>
          <w:tcPr>
            <w:tcW w:w="700" w:type="dxa"/>
          </w:tcPr>
          <w:p>
            <w:pPr>
              <w:spacing w:before="40" w:after="40"/>
            </w:pPr>
            <w:r>
              <w:t xml:space="preserve">H</w:t>
            </w:r>
          </w:p>
        </w:tc>
        <w:tc>
          <w:tcPr>
            <w:tcW w:w="2400" w:type="dxa"/>
          </w:tcPr>
          <w:p>
            <w:pPr>
              <w:spacing w:before="40" w:after="40"/>
            </w:pPr>
            <w:r>
              <w:t xml:space="preserve">Rescue office (static)</w:t>
            </w:r>
          </w:p>
        </w:tc>
        <w:tc>
          <w:tcPr>
            <w:tcW w:w="3600" w:type="dxa"/>
          </w:tcPr>
          <w:p>
            <w:pPr>
              <w:spacing w:before="40" w:after="40"/>
            </w:pPr>
            <w:r>
              <w:t xml:space="preserve">12.967945122837245, 77.6110507612277</w:t>
            </w:r>
          </w:p>
        </w:tc>
        <w:tc>
          <w:tcPr>
            <w:tcW w:w="3400" w:type="dxa"/>
          </w:tcPr>
          <w:p>
            <w:pPr>
              <w:spacing w:before="40" w:after="40"/>
            </w:pPr>
            <w:r>
              <w:t xml:space="preserve">Constant in all four apps</w:t>
            </w:r>
          </w:p>
        </w:tc>
        <w:tc>
          <w:tcPr>
            <w:tcW w:w="3100" w:type="dxa"/>
          </w:tcPr>
          <w:p>
            <w:pPr>
              <w:spacing w:before="40" w:after="40"/>
            </w:pPr>
            <w:r>
              <w:t xml:space="preserve">Exact match</w:t>
            </w:r>
          </w:p>
        </w:tc>
      </w:tr>
    </w:tbl>
    <w:p>
      <w:pPr>
        <w:spacing w:after="0"/>
      </w:pPr>
    </w:p>
    <w:p>
      <w:pPr>
        <w:spacing w:before="200" w:after="200"/>
      </w:pPr>
      <w:r>
        <w:rPr>
          <w:b/>
          <w:sz w:val="25"/>
        </w:rPr>
        <w:t xml:space="preserve">2. At vendor acceptance</w:t>
      </w:r>
    </w:p>
    <w:p>
      <w:pPr>
        <w:spacing w:before="110" w:after="110"/>
      </w:pPr>
      <w:r>
        <w:t xml:space="preserve">Both triggers, both measurement rules and the agent-entry behaviour are as specified. What differs is naming, and one origin point.</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600"/>
        <w:gridCol w:w="3600"/>
        <w:gridCol w:w="6000"/>
      </w:tblGrid>
      <w:tr>
        <w:tc>
          <w:tcPr>
            <w:tcW w:w="3600" w:type="dxa"/>
            <w:shd w:val="clear" w:fill="EDEDED"/>
          </w:tcPr>
          <w:p>
            <w:pPr>
              <w:spacing w:before="40" w:after="40"/>
            </w:pPr>
            <w:r>
              <w:rPr>
                <w:b/>
              </w:rPr>
              <w:t xml:space="preserve">Field in your document</w:t>
            </w:r>
          </w:p>
        </w:tc>
        <w:tc>
          <w:tcPr>
            <w:tcW w:w="3600" w:type="dxa"/>
            <w:shd w:val="clear" w:fill="EDEDED"/>
          </w:tcPr>
          <w:p>
            <w:pPr>
              <w:spacing w:before="40" w:after="40"/>
            </w:pPr>
            <w:r>
              <w:rPr>
                <w:b/>
              </w:rPr>
              <w:t xml:space="preserve">Field in the system</w:t>
            </w:r>
          </w:p>
        </w:tc>
        <w:tc>
          <w:tcPr>
            <w:tcW w:w="6000" w:type="dxa"/>
            <w:shd w:val="clear" w:fill="EDEDED"/>
          </w:tcPr>
          <w:p>
            <w:pPr>
              <w:spacing w:before="40" w:after="40"/>
            </w:pPr>
            <w:r>
              <w:rPr>
                <w:b/>
              </w:rPr>
              <w:t xml:space="preserve">Status</w:t>
            </w:r>
          </w:p>
        </w:tc>
      </w:tr>
      <w:tr>
        <w:tc>
          <w:tcPr>
            <w:tcW w:w="3600" w:type="dxa"/>
          </w:tcPr>
          <w:p>
            <w:pPr>
              <w:spacing w:before="40" w:after="40"/>
            </w:pPr>
            <w:r>
              <w:t xml:space="preserve">ETA_To_Breakdown_repair</w:t>
            </w:r>
          </w:p>
        </w:tc>
        <w:tc>
          <w:tcPr>
            <w:tcW w:w="3600" w:type="dxa"/>
          </w:tcPr>
          <w:p>
            <w:pPr>
              <w:spacing w:before="40" w:after="40"/>
            </w:pPr>
            <w:r>
              <w:rPr>
                <w:highlight w:val="yellow"/>
              </w:rPr>
              <w:t xml:space="preserve">`ETA`</w:t>
            </w:r>
          </w:p>
        </w:tc>
        <w:tc>
          <w:tcPr>
            <w:tcW w:w="6000" w:type="dxa"/>
          </w:tcPr>
          <w:p>
            <w:pPr>
              <w:spacing w:before="40" w:after="40"/>
            </w:pPr>
            <w:r>
              <w:rPr>
                <w:highlight w:val="yellow"/>
              </w:rPr>
              <w:t xml:space="preserve">Built. Name differs — see note below</w:t>
            </w:r>
          </w:p>
        </w:tc>
      </w:tr>
      <w:tr>
        <w:tc>
          <w:tcPr>
            <w:tcW w:w="3600" w:type="dxa"/>
          </w:tcPr>
          <w:p>
            <w:pPr>
              <w:spacing w:before="40" w:after="40"/>
            </w:pPr>
            <w:r>
              <w:t xml:space="preserve">Distance_To_Breakdown_repair</w:t>
            </w:r>
          </w:p>
        </w:tc>
        <w:tc>
          <w:tcPr>
            <w:tcW w:w="3600" w:type="dxa"/>
          </w:tcPr>
          <w:p>
            <w:pPr>
              <w:spacing w:before="40" w:after="40"/>
            </w:pPr>
            <w:r>
              <w:rPr>
                <w:highlight w:val="yellow"/>
              </w:rPr>
              <w:t xml:space="preserve">`Distance_To_Breakdown`</w:t>
            </w:r>
          </w:p>
        </w:tc>
        <w:tc>
          <w:tcPr>
            <w:tcW w:w="6000" w:type="dxa"/>
          </w:tcPr>
          <w:p>
            <w:pPr>
              <w:spacing w:before="40" w:after="40"/>
            </w:pPr>
            <w:r>
              <w:rPr>
                <w:highlight w:val="yellow"/>
              </w:rPr>
              <w:t xml:space="preserve">Built. Name differs</w:t>
            </w:r>
          </w:p>
        </w:tc>
      </w:tr>
      <w:tr>
        <w:tc>
          <w:tcPr>
            <w:tcW w:w="3600" w:type="dxa"/>
          </w:tcPr>
          <w:p>
            <w:pPr>
              <w:spacing w:before="40" w:after="40"/>
            </w:pPr>
            <w:r>
              <w:t xml:space="preserve">ETA_To_Breakdown_TOW</w:t>
            </w:r>
          </w:p>
        </w:tc>
        <w:tc>
          <w:tcPr>
            <w:tcW w:w="3600" w:type="dxa"/>
          </w:tcPr>
          <w:p>
            <w:pPr>
              <w:spacing w:before="40" w:after="40"/>
            </w:pPr>
            <w:r>
              <w:rPr>
                <w:highlight w:val="yellow"/>
              </w:rPr>
              <w:t xml:space="preserve">`ETA_TOW`</w:t>
            </w:r>
          </w:p>
        </w:tc>
        <w:tc>
          <w:tcPr>
            <w:tcW w:w="6000" w:type="dxa"/>
          </w:tcPr>
          <w:p>
            <w:pPr>
              <w:spacing w:before="40" w:after="40"/>
            </w:pPr>
            <w:r>
              <w:rPr>
                <w:highlight w:val="yellow"/>
              </w:rPr>
              <w:t xml:space="preserve">Built. Name differs</w:t>
            </w:r>
          </w:p>
        </w:tc>
      </w:tr>
      <w:tr>
        <w:tc>
          <w:tcPr>
            <w:tcW w:w="3600" w:type="dxa"/>
          </w:tcPr>
          <w:p>
            <w:pPr>
              <w:spacing w:before="40" w:after="40"/>
            </w:pPr>
            <w:r>
              <w:t xml:space="preserve">Distance_To_Breakdown_TOW</w:t>
            </w:r>
          </w:p>
        </w:tc>
        <w:tc>
          <w:tcPr>
            <w:tcW w:w="3600" w:type="dxa"/>
          </w:tcPr>
          <w:p>
            <w:pPr>
              <w:spacing w:before="40" w:after="40"/>
            </w:pPr>
            <w:r>
              <w:rPr>
                <w:rFonts w:ascii="Consolas" w:hAnsi="Consolas"/>
                <w:sz w:val="17"/>
              </w:rPr>
              <w:t xml:space="preserve">Distance_To_Breakdown_TOW</w:t>
            </w:r>
          </w:p>
        </w:tc>
        <w:tc>
          <w:tcPr>
            <w:tcW w:w="6000" w:type="dxa"/>
          </w:tcPr>
          <w:p>
            <w:pPr>
              <w:spacing w:before="40" w:after="40"/>
            </w:pPr>
            <w:r>
              <w:t xml:space="preserve">Built, name matches</w:t>
            </w:r>
          </w:p>
        </w:tc>
      </w:tr>
      <w:tr>
        <w:tc>
          <w:tcPr>
            <w:tcW w:w="3600" w:type="dxa"/>
          </w:tcPr>
          <w:p>
            <w:pPr>
              <w:spacing w:before="40" w:after="40"/>
            </w:pPr>
            <w:r>
              <w:t xml:space="preserve">ETA_TO_DROP_TOW</w:t>
            </w:r>
          </w:p>
        </w:tc>
        <w:tc>
          <w:tcPr>
            <w:tcW w:w="3600" w:type="dxa"/>
          </w:tcPr>
          <w:p>
            <w:pPr>
              <w:spacing w:before="40" w:after="40"/>
            </w:pPr>
            <w:r>
              <w:rPr>
                <w:highlight w:val="yellow"/>
              </w:rPr>
              <w:t xml:space="preserve">`Return_Journey_ETA`</w:t>
            </w:r>
          </w:p>
        </w:tc>
        <w:tc>
          <w:tcPr>
            <w:tcW w:w="6000" w:type="dxa"/>
          </w:tcPr>
          <w:p>
            <w:pPr>
              <w:spacing w:before="40" w:after="40"/>
            </w:pPr>
            <w:r>
              <w:rPr>
                <w:highlight w:val="yellow"/>
              </w:rPr>
              <w:t xml:space="preserve">Built — not omitted. Name differs</w:t>
            </w:r>
          </w:p>
        </w:tc>
      </w:tr>
      <w:tr>
        <w:tc>
          <w:tcPr>
            <w:tcW w:w="3600" w:type="dxa"/>
          </w:tcPr>
          <w:p>
            <w:pPr>
              <w:spacing w:before="40" w:after="40"/>
            </w:pPr>
            <w:r>
              <w:t xml:space="preserve">Distance_TO_DROP_TOW</w:t>
            </w:r>
          </w:p>
        </w:tc>
        <w:tc>
          <w:tcPr>
            <w:tcW w:w="3600" w:type="dxa"/>
          </w:tcPr>
          <w:p>
            <w:pPr>
              <w:spacing w:before="40" w:after="40"/>
            </w:pPr>
            <w:r>
              <w:rPr>
                <w:highlight w:val="yellow"/>
              </w:rPr>
              <w:t xml:space="preserve">`Breakdown_To_Drop_Distance`</w:t>
            </w:r>
          </w:p>
        </w:tc>
        <w:tc>
          <w:tcPr>
            <w:tcW w:w="6000" w:type="dxa"/>
          </w:tcPr>
          <w:p>
            <w:pPr>
              <w:spacing w:before="40" w:after="40"/>
            </w:pPr>
            <w:r>
              <w:rPr>
                <w:highlight w:val="yellow"/>
              </w:rPr>
              <w:t xml:space="preserve">Built — not omitted. Name differs</w:t>
            </w:r>
          </w:p>
        </w:tc>
      </w:tr>
    </w:tbl>
    <w:p>
      <w:pPr>
        <w:spacing w:after="0"/>
      </w:pPr>
    </w:p>
    <w:p>
      <w:pPr>
        <w:spacing w:before="110" w:after="110"/>
      </w:pPr>
      <w:r>
        <w:rPr>
          <w:highlight w:val="yellow"/>
        </w:rPr>
        <w:t xml:space="preserve">On naming:</w:t>
      </w:r>
      <w:r>
        <w:t xml:space="preserve"> we would prefer to keep the live field names and work from this mapping table rather than rename them. These fields already hold production data across every closed case, and renaming a Zoho field breaks every report, filter and export that points at it. The mapping costs nothing and carries no risk.</w:t>
      </w:r>
    </w:p>
    <w:p>
      <w:pPr>
        <w:spacing w:before="110" w:after="110"/>
      </w:pPr>
      <w:r>
        <w:rPr>
          <w:highlight w:val="yellow"/>
        </w:rPr>
        <w:t xml:space="preserve">On the drop leg:</w:t>
      </w:r>
      <w:r>
        <w:t xml:space="preserve"> your document measures it from the vendor REACH BREAKDOWN location. It is currently measured from the vendor’s live GPS at the moment they tap Picked-Up, falling back to the breakdown location on the ticket. In practice the vendor is standing at the vehicle at that moment, so the two points are metres apart. Confirm whether you want it switched to the stored Reach position.==</w:t>
      </w:r>
    </w:p>
    <w:p>
      <w:pPr>
        <w:spacing w:before="200" w:after="200"/>
      </w:pPr>
      <w:r>
        <w:rPr>
          <w:b/>
          <w:sz w:val="25"/>
        </w:rPr>
        <w:t xml:space="preserve">3. At agent closure</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5600"/>
        <w:gridCol w:w="7600"/>
      </w:tblGrid>
      <w:tr>
        <w:tc>
          <w:tcPr>
            <w:tcW w:w="5600" w:type="dxa"/>
            <w:shd w:val="clear" w:fill="EDEDED"/>
          </w:tcPr>
          <w:p>
            <w:pPr>
              <w:spacing w:before="40" w:after="40"/>
            </w:pPr>
            <w:r>
              <w:rPr>
                <w:b/>
              </w:rPr>
              <w:t xml:space="preserve">Rule in your document</w:t>
            </w:r>
          </w:p>
        </w:tc>
        <w:tc>
          <w:tcPr>
            <w:tcW w:w="7600" w:type="dxa"/>
            <w:shd w:val="clear" w:fill="EDEDED"/>
          </w:tcPr>
          <w:p>
            <w:pPr>
              <w:spacing w:before="40" w:after="40"/>
            </w:pPr>
            <w:r>
              <w:rPr>
                <w:b/>
              </w:rPr>
              <w:t xml:space="preserve">Status</w:t>
            </w:r>
          </w:p>
        </w:tc>
      </w:tr>
      <w:tr>
        <w:tc>
          <w:tcPr>
            <w:tcW w:w="5600" w:type="dxa"/>
          </w:tcPr>
          <w:p>
            <w:pPr>
              <w:spacing w:before="40" w:after="40"/>
            </w:pPr>
            <w:r>
              <w:t xml:space="preserve">Roundtrip_Distance trigger moves to Task Confirmation Time</w:t>
            </w:r>
          </w:p>
        </w:tc>
        <w:tc>
          <w:tcPr>
            <w:tcW w:w="7600" w:type="dxa"/>
          </w:tcPr>
          <w:p>
            <w:pPr>
              <w:spacing w:before="40" w:after="40"/>
            </w:pPr>
            <w:r>
              <w:rPr>
                <w:highlight w:val="yellow"/>
              </w:rPr>
              <w:t xml:space="preserve">Built this week. Written the moment Task Confirmation Time is stamped. The Agent Closure calculation is kept as a fallback for any ticket confirmed before its coordinates are complete — it only ever fills the field when it is empty, so it can never overwrite the earlier value.</w:t>
            </w:r>
          </w:p>
        </w:tc>
      </w:tr>
      <w:tr>
        <w:tc>
          <w:tcPr>
            <w:tcW w:w="5600" w:type="dxa"/>
          </w:tcPr>
          <w:p>
            <w:pPr>
              <w:spacing w:before="40" w:after="40"/>
            </w:pPr>
            <w:r>
              <w:t xml:space="preserve">Vendor_Distance 1. reach not null → vendor start → vendor reach</w:t>
            </w:r>
          </w:p>
        </w:tc>
        <w:tc>
          <w:tcPr>
            <w:tcW w:w="7600" w:type="dxa"/>
          </w:tcPr>
          <w:p>
            <w:pPr>
              <w:spacing w:before="40" w:after="40"/>
            </w:pPr>
            <w:r>
              <w:t xml:space="preserve">Live</w:t>
            </w:r>
          </w:p>
        </w:tc>
      </w:tr>
      <w:tr>
        <w:tc>
          <w:tcPr>
            <w:tcW w:w="5600" w:type="dxa"/>
          </w:tcPr>
          <w:p>
            <w:pPr>
              <w:spacing w:before="40" w:after="40"/>
            </w:pPr>
            <w:r>
              <w:t xml:space="preserve">Vendor_Distance 2. else cancel not null → = Cancel Distance</w:t>
            </w:r>
          </w:p>
        </w:tc>
        <w:tc>
          <w:tcPr>
            <w:tcW w:w="7600" w:type="dxa"/>
          </w:tcPr>
          <w:p>
            <w:pPr>
              <w:spacing w:before="40" w:after="40"/>
            </w:pPr>
            <w:r>
              <w:rPr>
                <w:highlight w:val="yellow"/>
              </w:rPr>
              <w:t xml:space="preserve">Built this week. A cancelled REPAIR ticket previously left this empty, so the vendor KM fee had nothing to read. It now reuses the Cancel_Distance the vendor app already recorded.</w:t>
            </w:r>
          </w:p>
        </w:tc>
      </w:tr>
      <w:tr>
        <w:tc>
          <w:tcPr>
            <w:tcW w:w="5600" w:type="dxa"/>
          </w:tcPr>
          <w:p>
            <w:pPr>
              <w:spacing w:before="40" w:after="40"/>
            </w:pPr>
            <w:r>
              <w:t xml:space="preserve">Vendor_Distance 3. else vendor base → breakdown [agent entry]</w:t>
            </w:r>
          </w:p>
        </w:tc>
        <w:tc>
          <w:tcPr>
            <w:tcW w:w="7600" w:type="dxa"/>
          </w:tcPr>
          <w:p>
            <w:pPr>
              <w:spacing w:before="40" w:after="40"/>
            </w:pPr>
            <w:r>
              <w:rPr>
                <w:highlight w:val="yellow"/>
              </w:rPr>
              <w:t xml:space="preserve">NOT built — decision needed. As written this applies to every repair ticket with no status condition, which would start paying a KM fee on cases cancelled before the vendor left base. We did not want to make that billing decision for you. Confirm and it is a small change.</w:t>
            </w:r>
          </w:p>
        </w:tc>
      </w:tr>
      <w:tr>
        <w:tc>
          <w:tcPr>
            <w:tcW w:w="5600" w:type="dxa"/>
          </w:tcPr>
          <w:p>
            <w:pPr>
              <w:spacing w:before="40" w:after="40"/>
            </w:pPr>
            <w:r>
              <w:t xml:space="preserve">Vendor_Round_Trip 1. base → reach → drop → base</w:t>
            </w:r>
          </w:p>
        </w:tc>
        <w:tc>
          <w:tcPr>
            <w:tcW w:w="7600" w:type="dxa"/>
          </w:tcPr>
          <w:p>
            <w:pPr>
              <w:spacing w:before="40" w:after="40"/>
            </w:pPr>
            <w:r>
              <w:t xml:space="preserve">Live</w:t>
            </w:r>
          </w:p>
        </w:tc>
      </w:tr>
      <w:tr>
        <w:tc>
          <w:tcPr>
            <w:tcW w:w="5600" w:type="dxa"/>
          </w:tcPr>
          <w:p>
            <w:pPr>
              <w:spacing w:before="40" w:after="40"/>
            </w:pPr>
            <w:r>
              <w:t xml:space="preserve">Vendor_Round_Trip 2. reach not null, drop null → base → reach → base</w:t>
            </w:r>
          </w:p>
        </w:tc>
        <w:tc>
          <w:tcPr>
            <w:tcW w:w="7600" w:type="dxa"/>
          </w:tcPr>
          <w:p>
            <w:pPr>
              <w:spacing w:before="40" w:after="40"/>
            </w:pPr>
            <w:r>
              <w:rPr>
                <w:highlight w:val="yellow"/>
              </w:rPr>
              <w:t xml:space="preserve">Built this week. Placed after the cancel branch rather than before it, so it can only add a figure to tickets that produce none today and can never change one already being paid. Tell us if you want the literal ordering instead — it is one line.</w:t>
            </w:r>
          </w:p>
        </w:tc>
      </w:tr>
      <w:tr>
        <w:tc>
          <w:tcPr>
            <w:tcW w:w="5600" w:type="dxa"/>
          </w:tcPr>
          <w:p>
            <w:pPr>
              <w:spacing w:before="40" w:after="40"/>
            </w:pPr>
            <w:r>
              <w:t xml:space="preserve">Vendor_Round_Trip 3. cancel not null → base → cancel → base</w:t>
            </w:r>
          </w:p>
        </w:tc>
        <w:tc>
          <w:tcPr>
            <w:tcW w:w="7600" w:type="dxa"/>
          </w:tcPr>
          <w:p>
            <w:pPr>
              <w:spacing w:before="40" w:after="40"/>
            </w:pPr>
            <w:r>
              <w:t xml:space="preserve">Live</w:t>
            </w:r>
          </w:p>
        </w:tc>
      </w:tr>
      <w:tr>
        <w:tc>
          <w:tcPr>
            <w:tcW w:w="5600" w:type="dxa"/>
          </w:tcPr>
          <w:p>
            <w:pPr>
              <w:spacing w:before="40" w:after="40"/>
            </w:pPr>
            <w:r>
              <w:t xml:space="preserve">Vendor_Round_Trip 4. cancelled billable or not-billable → base → pickup → base</w:t>
            </w:r>
          </w:p>
        </w:tc>
        <w:tc>
          <w:tcPr>
            <w:tcW w:w="7600" w:type="dxa"/>
          </w:tcPr>
          <w:p>
            <w:pPr>
              <w:spacing w:before="40" w:after="40"/>
            </w:pPr>
            <w:r>
              <w:rPr>
                <w:highlight w:val="yellow"/>
              </w:rPr>
              <w:t xml:space="preserve">Only Cancelled-Billable is handled. Extending it to Cancelled-Not-Billable means paying a KM fee on non-billable cancellations — confirm that is intended.</w:t>
            </w:r>
          </w:p>
        </w:tc>
      </w:tr>
      <w:tr>
        <w:tc>
          <w:tcPr>
            <w:tcW w:w="5600" w:type="dxa"/>
          </w:tcPr>
          <w:p>
            <w:pPr>
              <w:spacing w:before="40" w:after="40"/>
            </w:pPr>
            <w:r>
              <w:t xml:space="preserve">Vendor_Round_Trip 5. else base → pickup → drop → base</w:t>
            </w:r>
          </w:p>
        </w:tc>
        <w:tc>
          <w:tcPr>
            <w:tcW w:w="7600" w:type="dxa"/>
          </w:tcPr>
          <w:p>
            <w:pPr>
              <w:spacing w:before="40" w:after="40"/>
            </w:pPr>
            <w:r>
              <w:t xml:space="preserve">Live</w:t>
            </w:r>
          </w:p>
        </w:tc>
      </w:tr>
      <w:tr>
        <w:tc>
          <w:tcPr>
            <w:tcW w:w="5600" w:type="dxa"/>
          </w:tcPr>
          <w:p>
            <w:pPr>
              <w:spacing w:before="40" w:after="40"/>
            </w:pPr>
            <w:r>
              <w:t xml:space="preserve">Roundtrip_Distance REPAIR: Office → breakdown → Office</w:t>
            </w:r>
          </w:p>
        </w:tc>
        <w:tc>
          <w:tcPr>
            <w:tcW w:w="7600" w:type="dxa"/>
          </w:tcPr>
          <w:p>
            <w:pPr>
              <w:spacing w:before="40" w:after="40"/>
            </w:pPr>
            <w:r>
              <w:t xml:space="preserve">Live</w:t>
            </w:r>
          </w:p>
        </w:tc>
      </w:tr>
      <w:tr>
        <w:tc>
          <w:tcPr>
            <w:tcW w:w="5600" w:type="dxa"/>
          </w:tcPr>
          <w:p>
            <w:pPr>
              <w:spacing w:before="40" w:after="40"/>
            </w:pPr>
            <w:r>
              <w:t xml:space="preserve">Roundtrip_Distance TOW: Office → pickup → drop → Office</w:t>
            </w:r>
          </w:p>
        </w:tc>
        <w:tc>
          <w:tcPr>
            <w:tcW w:w="7600" w:type="dxa"/>
          </w:tcPr>
          <w:p>
            <w:pPr>
              <w:spacing w:before="40" w:after="40"/>
            </w:pPr>
            <w:r>
              <w:t xml:space="preserve">Live</w:t>
            </w:r>
          </w:p>
        </w:tc>
      </w:tr>
      <w:tr>
        <w:tc>
          <w:tcPr>
            <w:tcW w:w="5600" w:type="dxa"/>
          </w:tcPr>
          <w:p>
            <w:pPr>
              <w:spacing w:before="40" w:after="40"/>
            </w:pPr>
            <w:r>
              <w:t xml:space="preserve">The two are mutually exclusive; Vendor_Distance pays REPAIR, Vendor_Round_Trip_Distance pays TOW</w:t>
            </w:r>
          </w:p>
        </w:tc>
        <w:tc>
          <w:tcPr>
            <w:tcW w:w="7600" w:type="dxa"/>
          </w:tcPr>
          <w:p>
            <w:pPr>
              <w:spacing w:before="40" w:after="40"/>
            </w:pPr>
            <w:r>
              <w:t xml:space="preserve">Live — see section 7</w:t>
            </w:r>
          </w:p>
        </w:tc>
      </w:tr>
    </w:tbl>
    <w:p>
      <w:pPr>
        <w:spacing w:after="0"/>
      </w:pPr>
    </w:p>
    <w:p>
      <w:pPr>
        <w:spacing w:before="200" w:after="200"/>
      </w:pPr>
      <w:r>
        <w:rPr>
          <w:b/>
          <w:sz w:val="25"/>
        </w:rPr>
        <w:t xml:space="preserve">4. At cancellation</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6600"/>
        <w:gridCol w:w="6600"/>
      </w:tblGrid>
      <w:tr>
        <w:tc>
          <w:tcPr>
            <w:tcW w:w="6600" w:type="dxa"/>
            <w:shd w:val="clear" w:fill="EDEDED"/>
          </w:tcPr>
          <w:p>
            <w:pPr>
              <w:spacing w:before="40" w:after="40"/>
            </w:pPr>
            <w:r>
              <w:rPr>
                <w:b/>
              </w:rPr>
              <w:t xml:space="preserve">Rule</w:t>
            </w:r>
          </w:p>
        </w:tc>
        <w:tc>
          <w:tcPr>
            <w:tcW w:w="6600" w:type="dxa"/>
            <w:shd w:val="clear" w:fill="EDEDED"/>
          </w:tcPr>
          <w:p>
            <w:pPr>
              <w:spacing w:before="40" w:after="40"/>
            </w:pPr>
            <w:r>
              <w:rPr>
                <w:b/>
              </w:rPr>
              <w:t xml:space="preserve">Status</w:t>
            </w:r>
          </w:p>
        </w:tc>
      </w:tr>
      <w:tr>
        <w:tc>
          <w:tcPr>
            <w:tcW w:w="6600" w:type="dxa"/>
          </w:tcPr>
          <w:p>
            <w:pPr>
              <w:spacing w:before="40" w:after="40"/>
            </w:pPr>
            <w:r>
              <w:t xml:space="preserve">Cancel_Distance = vendor start → cancel point</w:t>
            </w:r>
          </w:p>
        </w:tc>
        <w:tc>
          <w:tcPr>
            <w:tcW w:w="6600" w:type="dxa"/>
          </w:tcPr>
          <w:p>
            <w:pPr>
              <w:spacing w:before="40" w:after="40"/>
            </w:pPr>
            <w:r>
              <w:t xml:space="preserve">Live</w:t>
            </w:r>
          </w:p>
        </w:tc>
      </w:tr>
      <w:tr>
        <w:tc>
          <w:tcPr>
            <w:tcW w:w="6600" w:type="dxa"/>
          </w:tcPr>
          <w:p>
            <w:pPr>
              <w:spacing w:before="40" w:after="40"/>
            </w:pPr>
            <w:r>
              <w:t xml:space="preserve">Distance_Cancel_To_Breakdown by haversine, not Google</w:t>
            </w:r>
          </w:p>
        </w:tc>
        <w:tc>
          <w:tcPr>
            <w:tcW w:w="6600" w:type="dxa"/>
          </w:tcPr>
          <w:p>
            <w:pPr>
              <w:spacing w:before="40" w:after="40"/>
            </w:pPr>
            <w:r>
              <w:rPr>
                <w:highlight w:val="yellow"/>
              </w:rPr>
              <w:t xml:space="preserve">Already the case — that calculation has never used the Google API</w:t>
            </w:r>
          </w:p>
        </w:tc>
      </w:tr>
      <w:tr>
        <w:tc>
          <w:tcPr>
            <w:tcW w:w="6600" w:type="dxa"/>
          </w:tcPr>
          <w:p>
            <w:pPr>
              <w:spacing w:before="40" w:after="40"/>
            </w:pPr>
            <w:r>
              <w:t xml:space="preserve">Not written when an agent cancels on the vendor’s behalf</w:t>
            </w:r>
          </w:p>
        </w:tc>
        <w:tc>
          <w:tcPr>
            <w:tcW w:w="6600" w:type="dxa"/>
          </w:tcPr>
          <w:p>
            <w:pPr>
              <w:spacing w:before="40" w:after="40"/>
            </w:pPr>
            <w:r>
              <w:t xml:space="preserve">Live</w:t>
            </w:r>
          </w:p>
        </w:tc>
      </w:tr>
    </w:tbl>
    <w:p>
      <w:pPr>
        <w:spacing w:after="0"/>
      </w:pPr>
    </w:p>
    <w:p>
      <w:pPr>
        <w:spacing w:before="200" w:after="200"/>
      </w:pPr>
      <w:r>
        <w:rPr>
          <w:b/>
          <w:sz w:val="25"/>
        </w:rPr>
        <w:t xml:space="preserve">5. Not calculated by Google</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6000"/>
        <w:gridCol w:w="7200"/>
      </w:tblGrid>
      <w:tr>
        <w:tc>
          <w:tcPr>
            <w:tcW w:w="6000" w:type="dxa"/>
            <w:shd w:val="clear" w:fill="EDEDED"/>
          </w:tcPr>
          <w:p>
            <w:pPr>
              <w:spacing w:before="40" w:after="40"/>
            </w:pPr>
            <w:r>
              <w:rPr>
                <w:b/>
              </w:rPr>
              <w:t xml:space="preserve">Field</w:t>
            </w:r>
          </w:p>
        </w:tc>
        <w:tc>
          <w:tcPr>
            <w:tcW w:w="7200" w:type="dxa"/>
            <w:shd w:val="clear" w:fill="EDEDED"/>
          </w:tcPr>
          <w:p>
            <w:pPr>
              <w:spacing w:before="40" w:after="40"/>
            </w:pPr>
            <w:r>
              <w:rPr>
                <w:b/>
              </w:rPr>
              <w:t xml:space="preserve">Status</w:t>
            </w:r>
          </w:p>
        </w:tc>
      </w:tr>
      <w:tr>
        <w:tc>
          <w:tcPr>
            <w:tcW w:w="6000" w:type="dxa"/>
          </w:tcPr>
          <w:p>
            <w:pPr>
              <w:spacing w:before="40" w:after="40"/>
            </w:pPr>
            <w:r>
              <w:t xml:space="preserve">Agent_ETA_Override — typed by agent</w:t>
            </w:r>
          </w:p>
        </w:tc>
        <w:tc>
          <w:tcPr>
            <w:tcW w:w="7200" w:type="dxa"/>
          </w:tcPr>
          <w:p>
            <w:pPr>
              <w:spacing w:before="40" w:after="40"/>
            </w:pPr>
            <w:r>
              <w:t xml:space="preserve">Live</w:t>
            </w:r>
          </w:p>
        </w:tc>
      </w:tr>
      <w:tr>
        <w:tc>
          <w:tcPr>
            <w:tcW w:w="6000" w:type="dxa"/>
          </w:tcPr>
          <w:p>
            <w:pPr>
              <w:spacing w:before="40" w:after="40"/>
            </w:pPr>
            <w:r>
              <w:t xml:space="preserve">ETA Met / Missed — calculated in-app</w:t>
            </w:r>
          </w:p>
        </w:tc>
        <w:tc>
          <w:tcPr>
            <w:tcW w:w="7200" w:type="dxa"/>
          </w:tcPr>
          <w:p>
            <w:pPr>
              <w:spacing w:before="40" w:after="40"/>
            </w:pPr>
            <w:r>
              <w:t xml:space="preserve">Live</w:t>
            </w:r>
          </w:p>
        </w:tc>
      </w:tr>
      <w:tr>
        <w:tc>
          <w:tcPr>
            <w:tcW w:w="6000" w:type="dxa"/>
          </w:tcPr>
          <w:p>
            <w:pPr>
              <w:spacing w:before="40" w:after="40"/>
            </w:pPr>
            <w:r>
              <w:t xml:space="preserve">Vendor_Fleet_Location_Lat / _Lon — straight-line comparison</w:t>
            </w:r>
          </w:p>
        </w:tc>
        <w:tc>
          <w:tcPr>
            <w:tcW w:w="7200" w:type="dxa"/>
          </w:tcPr>
          <w:p>
            <w:pPr>
              <w:spacing w:before="40" w:after="40"/>
            </w:pPr>
            <w:r>
              <w:t xml:space="preserve">Live</w:t>
            </w:r>
          </w:p>
        </w:tc>
      </w:tr>
      <w:tr>
        <w:tc>
          <w:tcPr>
            <w:tcW w:w="6000" w:type="dxa"/>
          </w:tcPr>
          <w:p>
            <w:pPr>
              <w:spacing w:before="40" w:after="40"/>
            </w:pPr>
            <w:r>
              <w:t xml:space="preserve">Office_To_Mechanic — typed by agent (agent-on-behalf only)</w:t>
            </w:r>
          </w:p>
        </w:tc>
        <w:tc>
          <w:tcPr>
            <w:tcW w:w="7200" w:type="dxa"/>
          </w:tcPr>
          <w:p>
            <w:pPr>
              <w:spacing w:before="40" w:after="40"/>
            </w:pPr>
            <w:r>
              <w:rPr>
                <w:highlight w:val="yellow"/>
              </w:rPr>
              <w:t xml:space="preserve">Does not match the build: the vendor apps calculate and write this at work-completed. Please confirm which behaviour you want.</w:t>
            </w:r>
          </w:p>
        </w:tc>
      </w:tr>
      <w:tr>
        <w:tc>
          <w:tcPr>
            <w:tcW w:w="6000" w:type="dxa"/>
          </w:tcPr>
          <w:p>
            <w:pPr>
              <w:spacing w:before="40" w:after="40"/>
            </w:pPr>
            <w:r>
              <w:t xml:space="preserve">Breakdown_To_Office — typed by agent (agent-on-behalf only)</w:t>
            </w:r>
          </w:p>
        </w:tc>
        <w:tc>
          <w:tcPr>
            <w:tcW w:w="7200" w:type="dxa"/>
          </w:tcPr>
          <w:p>
            <w:pPr>
              <w:spacing w:before="40" w:after="40"/>
            </w:pPr>
            <w:r>
              <w:rPr>
                <w:highlight w:val="yellow"/>
              </w:rPr>
              <w:t xml:space="preserve">Same — calculated and written, not typed.</w:t>
            </w:r>
          </w:p>
        </w:tc>
      </w:tr>
    </w:tbl>
    <w:p>
      <w:pPr>
        <w:spacing w:after="0"/>
      </w:pPr>
    </w:p>
    <w:p>
      <w:pPr>
        <w:spacing w:before="200" w:after="200"/>
      </w:pPr>
      <w:r>
        <w:rPr>
          <w:b/>
          <w:sz w:val="25"/>
        </w:rPr>
        <w:t xml:space="preserve">6. The five things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6000"/>
        <w:gridCol w:w="7200"/>
      </w:tblGrid>
      <w:tr>
        <w:tc>
          <w:tcPr>
            <w:tcW w:w="6000" w:type="dxa"/>
            <w:shd w:val="clear" w:fill="EDEDED"/>
          </w:tcPr>
          <w:p>
            <w:pPr>
              <w:spacing w:before="40" w:after="40"/>
            </w:pPr>
            <w:r>
              <w:rPr>
                <w:b/>
              </w:rPr>
              <w:t xml:space="preserve">Point</w:t>
            </w:r>
          </w:p>
        </w:tc>
        <w:tc>
          <w:tcPr>
            <w:tcW w:w="7200" w:type="dxa"/>
            <w:shd w:val="clear" w:fill="EDEDED"/>
          </w:tcPr>
          <w:p>
            <w:pPr>
              <w:spacing w:before="40" w:after="40"/>
            </w:pPr>
            <w:r>
              <w:rPr>
                <w:b/>
              </w:rPr>
              <w:t xml:space="preserve">Status</w:t>
            </w:r>
          </w:p>
        </w:tc>
      </w:tr>
      <w:tr>
        <w:tc>
          <w:tcPr>
            <w:tcW w:w="6000" w:type="dxa"/>
          </w:tcPr>
          <w:p>
            <w:pPr>
              <w:spacing w:before="40" w:after="40"/>
            </w:pPr>
            <w:r>
              <w:t xml:space="preserve">1. Calculated once, only when empty</w:t>
            </w:r>
          </w:p>
        </w:tc>
        <w:tc>
          <w:tcPr>
            <w:tcW w:w="7200" w:type="dxa"/>
          </w:tcPr>
          <w:p>
            <w:pPr>
              <w:spacing w:before="40" w:after="40"/>
            </w:pPr>
            <w:r>
              <w:t xml:space="preserve">Live</w:t>
            </w:r>
          </w:p>
        </w:tc>
      </w:tr>
      <w:tr>
        <w:tc>
          <w:tcPr>
            <w:tcW w:w="6000" w:type="dxa"/>
          </w:tcPr>
          <w:p>
            <w:pPr>
              <w:spacing w:before="40" w:after="40"/>
            </w:pPr>
            <w:r>
              <w:t xml:space="preserve">2. Straight-line fallback when Google cannot route</w:t>
            </w:r>
          </w:p>
        </w:tc>
        <w:tc>
          <w:tcPr>
            <w:tcW w:w="7200" w:type="dxa"/>
          </w:tcPr>
          <w:p>
            <w:pPr>
              <w:spacing w:before="40" w:after="40"/>
            </w:pPr>
            <w:r>
              <w:t xml:space="preserve">Live</w:t>
            </w:r>
          </w:p>
        </w:tc>
      </w:tr>
      <w:tr>
        <w:tc>
          <w:tcPr>
            <w:tcW w:w="6000" w:type="dxa"/>
          </w:tcPr>
          <w:p>
            <w:pPr>
              <w:spacing w:before="40" w:after="40"/>
            </w:pPr>
            <w:r>
              <w:t xml:space="preserve">3. Blank when coordinates, vendor or vendor base are missing</w:t>
            </w:r>
          </w:p>
        </w:tc>
        <w:tc>
          <w:tcPr>
            <w:tcW w:w="7200" w:type="dxa"/>
          </w:tcPr>
          <w:p>
            <w:pPr>
              <w:spacing w:before="40" w:after="40"/>
            </w:pPr>
            <w:r>
              <w:t xml:space="preserve">Live — each case is logged with the reason</w:t>
            </w:r>
          </w:p>
        </w:tc>
      </w:tr>
      <w:tr>
        <w:tc>
          <w:tcPr>
            <w:tcW w:w="6000" w:type="dxa"/>
          </w:tcPr>
          <w:p>
            <w:pPr>
              <w:spacing w:before="40" w:after="40"/>
            </w:pPr>
            <w:r>
              <w:t xml:space="preserve">4. Customer ETA in time format, +10 min on vendor-app cases; acceptance time + Agent ETA Override on agent-on-behalf</w:t>
            </w:r>
          </w:p>
        </w:tc>
        <w:tc>
          <w:tcPr>
            <w:tcW w:w="7200" w:type="dxa"/>
          </w:tcPr>
          <w:p>
            <w:pPr>
              <w:spacing w:before="40" w:after="40"/>
            </w:pPr>
            <w:r>
              <w:rPr>
                <w:highlight w:val="yellow"/>
              </w:rPr>
              <w:t xml:space="preserve">Built this week, both rules, 24-hour format (15:35). BLOCKED ON ONE THING: the approved WhatsApp template share_rescue_service_details_and_eta has the word "Hrs" written into its body after the ETA variable, so it would read "15:35 Hrs". The template text must be edited and re-approved by Meta before this can go live. Please confirm who makes that change.</w:t>
            </w:r>
          </w:p>
        </w:tc>
      </w:tr>
      <w:tr>
        <w:tc>
          <w:tcPr>
            <w:tcW w:w="6000" w:type="dxa"/>
          </w:tcPr>
          <w:p>
            <w:pPr>
              <w:spacing w:before="40" w:after="40"/>
            </w:pPr>
            <w:r>
              <w:t xml:space="preserve">5. TOW in 4-wheeler mode, REPAIR in 2-wheeler mode</w:t>
            </w:r>
          </w:p>
        </w:tc>
        <w:tc>
          <w:tcPr>
            <w:tcW w:w="7200" w:type="dxa"/>
          </w:tcPr>
          <w:p>
            <w:pPr>
              <w:spacing w:before="40" w:after="40"/>
            </w:pPr>
            <w:r>
              <w:rPr>
                <w:highlight w:val="yellow"/>
              </w:rPr>
              <w:t xml:space="preserve">Already the case — TOW routes as DRIVING, REPAIR as TWO_WHEELER</w:t>
            </w:r>
          </w:p>
        </w:tc>
      </w:tr>
    </w:tbl>
    <w:p>
      <w:pPr>
        <w:spacing w:after="0"/>
      </w:pPr>
    </w:p>
    <w:p>
      <w:pPr>
        <w:spacing w:before="200" w:after="200"/>
      </w:pPr>
      <w:r>
        <w:rPr>
          <w:b/>
          <w:sz w:val="25"/>
        </w:rPr>
        <w:t xml:space="preserve">7. Where Vendor_Distance and Vendor_Round_Trip_Distance are used</w:t>
      </w:r>
    </w:p>
    <w:p>
      <w:pPr>
        <w:spacing w:before="110" w:after="110"/>
      </w:pPr>
      <w:r>
        <w:t xml:space="preserve">Both are written in one place only — the closure distance calculation — and read in four.</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5500"/>
        <w:gridCol w:w="5500"/>
      </w:tblGrid>
      <w:tr>
        <w:tc>
          <w:tcPr>
            <w:tcW w:w="2200" w:type="dxa"/>
            <w:shd w:val="clear" w:fill="EDEDED"/>
          </w:tcPr>
          <w:p>
            <w:pPr>
              <w:spacing w:before="40" w:after="40"/>
            </w:pPr>
            <w:r>
              <w:t xml:space="preserve">****</w:t>
            </w:r>
          </w:p>
        </w:tc>
        <w:tc>
          <w:tcPr>
            <w:tcW w:w="5500" w:type="dxa"/>
            <w:shd w:val="clear" w:fill="EDEDED"/>
          </w:tcPr>
          <w:p>
            <w:pPr>
              <w:spacing w:before="40" w:after="40"/>
            </w:pPr>
            <w:r>
              <w:rPr>
                <w:b/>
              </w:rPr>
              <w:t xml:space="preserve">Vendor_Distance</w:t>
            </w:r>
          </w:p>
        </w:tc>
        <w:tc>
          <w:tcPr>
            <w:tcW w:w="5500" w:type="dxa"/>
            <w:shd w:val="clear" w:fill="EDEDED"/>
          </w:tcPr>
          <w:p>
            <w:pPr>
              <w:spacing w:before="40" w:after="40"/>
            </w:pPr>
            <w:r>
              <w:rPr>
                <w:b/>
              </w:rPr>
              <w:t xml:space="preserve">Vendor_Round_Trip_Distance</w:t>
            </w:r>
          </w:p>
        </w:tc>
      </w:tr>
      <w:tr>
        <w:tc>
          <w:tcPr>
            <w:tcW w:w="2200" w:type="dxa"/>
          </w:tcPr>
          <w:p>
            <w:pPr>
              <w:spacing w:before="40" w:after="40"/>
            </w:pPr>
            <w:r>
              <w:t xml:space="preserve">Applies to</w:t>
            </w:r>
          </w:p>
        </w:tc>
        <w:tc>
          <w:tcPr>
            <w:tcW w:w="5500" w:type="dxa"/>
          </w:tcPr>
          <w:p>
            <w:pPr>
              <w:spacing w:before="40" w:after="40"/>
            </w:pPr>
            <w:r>
              <w:t xml:space="preserve">REPAIR only — forced null on every TOW ticket</w:t>
            </w:r>
          </w:p>
        </w:tc>
        <w:tc>
          <w:tcPr>
            <w:tcW w:w="5500" w:type="dxa"/>
          </w:tcPr>
          <w:p>
            <w:pPr>
              <w:spacing w:before="40" w:after="40"/>
            </w:pPr>
            <w:r>
              <w:t xml:space="preserve">TOW only — forced null on every REPAIR ticket</w:t>
            </w:r>
          </w:p>
        </w:tc>
      </w:tr>
      <w:tr>
        <w:tc>
          <w:tcPr>
            <w:tcW w:w="2200" w:type="dxa"/>
          </w:tcPr>
          <w:p>
            <w:pPr>
              <w:spacing w:before="40" w:after="40"/>
            </w:pPr>
            <w:r>
              <w:t xml:space="preserve">Written by</w:t>
            </w:r>
          </w:p>
        </w:tc>
        <w:tc>
          <w:tcPr>
            <w:tcW w:w="5500" w:type="dxa"/>
          </w:tcPr>
          <w:p>
            <w:pPr>
              <w:spacing w:before="40" w:after="40"/>
            </w:pPr>
            <w:r>
              <w:t xml:space="preserve">The closure distance calculation, when the agent saves Agent Closure. Only ever written when the field is empty.</w:t>
            </w:r>
          </w:p>
        </w:tc>
        <w:tc>
          <w:tcPr>
            <w:tcW w:w="5500" w:type="dxa"/>
          </w:tcPr>
          <w:p>
            <w:pPr>
              <w:spacing w:before="40" w:after="40"/>
            </w:pPr>
            <w:r>
              <w:t xml:space="preserve">Same</w:t>
            </w:r>
          </w:p>
        </w:tc>
      </w:tr>
      <w:tr>
        <w:tc>
          <w:tcPr>
            <w:tcW w:w="2200" w:type="dxa"/>
          </w:tcPr>
          <w:p>
            <w:pPr>
              <w:spacing w:before="40" w:after="40"/>
            </w:pPr>
            <w:r>
              <w:t xml:space="preserve">Shown on</w:t>
            </w:r>
          </w:p>
        </w:tc>
        <w:tc>
          <w:tcPr>
            <w:tcW w:w="5500" w:type="dxa"/>
          </w:tcPr>
          <w:p>
            <w:pPr>
              <w:spacing w:before="40" w:after="40"/>
            </w:pPr>
            <w:r>
              <w:t xml:space="preserve">Final Closure → Distance &amp; ETA Metrics, as “Vendor Distance (km, Repair)”, read-only</w:t>
            </w:r>
          </w:p>
        </w:tc>
        <w:tc>
          <w:tcPr>
            <w:tcW w:w="5500" w:type="dxa"/>
          </w:tcPr>
          <w:p>
            <w:pPr>
              <w:spacing w:before="40" w:after="40"/>
            </w:pPr>
            <w:r>
              <w:t xml:space="preserve">Final Closure → Distance &amp; ETA Metrics, as “Vendor Round Trip Distance (km, TOW)”, read-only</w:t>
            </w:r>
          </w:p>
        </w:tc>
      </w:tr>
      <w:tr>
        <w:tc>
          <w:tcPr>
            <w:tcW w:w="2200" w:type="dxa"/>
          </w:tcPr>
          <w:p>
            <w:pPr>
              <w:spacing w:before="40" w:after="40"/>
            </w:pPr>
            <w:r>
              <w:t xml:space="preserve">Pays the vendor</w:t>
            </w:r>
          </w:p>
        </w:tc>
        <w:tc>
          <w:tcPr>
            <w:tcW w:w="5500" w:type="dxa"/>
          </w:tcPr>
          <w:p>
            <w:pPr>
              <w:spacing w:before="40" w:after="40"/>
            </w:pPr>
            <w:r>
              <w:t xml:space="preserve">The actual-KM input to the vendor fee calculation for every non-TOW case. It feeds the KM slab formula, which produces the KM fee, then gross, TDS and net.</w:t>
            </w:r>
          </w:p>
        </w:tc>
        <w:tc>
          <w:tcPr>
            <w:tcW w:w="5500" w:type="dxa"/>
          </w:tcPr>
          <w:p>
            <w:pPr>
              <w:spacing w:before="40" w:after="40"/>
            </w:pPr>
            <w:r>
              <w:t xml:space="preserve">The same input for every TOW case</w:t>
            </w:r>
          </w:p>
        </w:tc>
      </w:tr>
      <w:tr>
        <w:tc>
          <w:tcPr>
            <w:tcW w:w="2200" w:type="dxa"/>
          </w:tcPr>
          <w:p>
            <w:pPr>
              <w:spacing w:before="40" w:after="40"/>
            </w:pPr>
            <w:r>
              <w:t xml:space="preserve">Vendor Accounting screen</w:t>
            </w:r>
          </w:p>
        </w:tc>
        <w:tc>
          <w:tcPr>
            <w:tcW w:w="5500" w:type="dxa"/>
          </w:tcPr>
          <w:p>
            <w:pPr>
              <w:spacing w:before="40" w:after="40"/>
            </w:pPr>
            <w:r>
              <w:t xml:space="preserve">Shown as “Travel Kms (RSR)”. </w:t>
            </w:r>
            <w:r>
              <w:rPr>
                <w:highlight w:val="yellow"/>
              </w:rPr>
              <w:t xml:space="preserve">If it is 0 or missing, the screen falls back to Distance_To_Breakdown so a case with a good measured distance is never priced at 0 km — added 6 October at your request.</w:t>
            </w:r>
          </w:p>
        </w:tc>
        <w:tc>
          <w:tcPr>
            <w:tcW w:w="5500" w:type="dxa"/>
          </w:tcPr>
          <w:p>
            <w:pPr>
              <w:spacing w:before="40" w:after="40"/>
            </w:pPr>
            <w:r>
              <w:t xml:space="preserve">Shown as “Vendor Round-trip KM” and is </w:t>
            </w:r>
            <w:r>
              <w:rPr>
                <w:highlight w:val="yellow"/>
              </w:rPr>
              <w:t xml:space="preserve">editable at Operations Approval</w:t>
            </w:r>
            <w:r>
              <w:t xml:space="preserve">. Editing it recalculates the fee live, and the new value is written back on approval.</w:t>
            </w:r>
          </w:p>
        </w:tc>
      </w:tr>
      <w:tr>
        <w:tc>
          <w:tcPr>
            <w:tcW w:w="2200" w:type="dxa"/>
          </w:tcPr>
          <w:p>
            <w:pPr>
              <w:spacing w:before="40" w:after="40"/>
            </w:pPr>
            <w:r>
              <w:t xml:space="preserve">Export</w:t>
            </w:r>
          </w:p>
        </w:tc>
        <w:tc>
          <w:tcPr>
            <w:tcW w:w="5500" w:type="dxa"/>
          </w:tcPr>
          <w:p>
            <w:pPr>
              <w:spacing w:before="40" w:after="40"/>
            </w:pPr>
            <w:r>
              <w:t xml:space="preserve">Included in the Vendor Accounting export</w:t>
            </w:r>
          </w:p>
        </w:tc>
        <w:tc>
          <w:tcPr>
            <w:tcW w:w="5500" w:type="dxa"/>
          </w:tcPr>
          <w:p>
            <w:pPr>
              <w:spacing w:before="40" w:after="40"/>
            </w:pPr>
            <w:r>
              <w:t xml:space="preserve">Included in the Vendor Accounting export</w:t>
            </w:r>
          </w:p>
        </w:tc>
      </w:tr>
    </w:tbl>
    <w:p>
      <w:pPr>
        <w:spacing w:after="0"/>
      </w:pPr>
    </w:p>
    <w:p>
      <w:pPr>
        <w:spacing w:before="200" w:after="200"/>
      </w:pPr>
      <w:r>
        <w:rPr>
          <w:b/>
          <w:sz w:val="25"/>
        </w:rPr>
        <w:t xml:space="preserve">8. Decisions we need from you</w:t>
      </w:r>
    </w:p>
    <w:p>
      <w:pPr>
        <w:spacing w:before="110" w:after="110"/>
        <w:ind w:left="360" w:hanging="180"/>
      </w:pPr>
      <w:r>
        <w:t xml:space="preserve">•  </w:t>
      </w:r>
      <w:r>
        <w:rPr>
          <w:highlight w:val="yellow"/>
        </w:rPr>
        <w:t xml:space="preserve">Who edits the WhatsApp template text so the clock-time ETA can go live?</w:t>
      </w:r>
      <w:r>
        <w:t xml:space="preserve"> Until this is done the customer would read “15:35 Hrs”.</w:t>
      </w:r>
    </w:p>
    <w:p>
      <w:pPr>
        <w:spacing w:before="110" w:after="110"/>
        <w:ind w:left="360" w:hanging="180"/>
      </w:pPr>
      <w:r>
        <w:t xml:space="preserve">•  </w:t>
      </w:r>
      <w:r>
        <w:rPr>
          <w:highlight w:val="yellow"/>
        </w:rPr>
        <w:t xml:space="preserve">Vendor_Distance branch 3 — should a repair ticket cancelled before the vendor left base still generate a KM fee?</w:t>
      </w:r>
    </w:p>
    <w:p>
      <w:pPr>
        <w:spacing w:before="110" w:after="110"/>
        <w:ind w:left="360" w:hanging="180"/>
      </w:pPr>
      <w:r>
        <w:t xml:space="preserve">•  </w:t>
      </w:r>
      <w:r>
        <w:rPr>
          <w:highlight w:val="yellow"/>
        </w:rPr>
        <w:t xml:space="preserve">Vendor round-trip branch 4 — should Cancelled-Not-Billable pay a KM fee, as the wording implies?</w:t>
      </w:r>
    </w:p>
    <w:p>
      <w:pPr>
        <w:spacing w:before="110" w:after="110"/>
        <w:ind w:left="360" w:hanging="180"/>
      </w:pPr>
      <w:r>
        <w:t xml:space="preserve">•  </w:t>
      </w:r>
      <w:r>
        <w:rPr>
          <w:highlight w:val="yellow"/>
        </w:rPr>
        <w:t xml:space="preserve">Vendor round-trip branch 2 — keep it where it is (adds a figure only), or move it to the literal position in your list (changes existing Cancelled-Billable cases)?</w:t>
      </w:r>
    </w:p>
    <w:p>
      <w:pPr>
        <w:spacing w:before="110" w:after="110"/>
        <w:ind w:left="360" w:hanging="180"/>
      </w:pPr>
      <w:r>
        <w:t xml:space="preserve">•  </w:t>
      </w:r>
      <w:r>
        <w:rPr>
          <w:highlight w:val="yellow"/>
        </w:rPr>
        <w:t xml:space="preserve">Field names — confirm the mapping in section 2 is acceptable rather than renaming live fields.</w:t>
      </w:r>
    </w:p>
    <w:p>
      <w:pPr>
        <w:spacing w:before="110" w:after="110"/>
        <w:ind w:left="360" w:hanging="180"/>
      </w:pPr>
      <w:r>
        <w:t xml:space="preserve">•  </w:t>
      </w:r>
      <w:r>
        <w:rPr>
          <w:highlight w:val="yellow"/>
        </w:rPr>
        <w:t xml:space="preserve">Office_To_Mechanic / Breakdown_To_Office — typed by the agent, or calculated as they are today?</w:t>
      </w:r>
    </w:p>
    <w:p>
      <w:pPr>
        <w:spacing w:before="110" w:after="110"/>
        <w:ind w:left="360" w:hanging="180"/>
      </w:pPr>
      <w:r>
        <w:t xml:space="preserve">•  </w:t>
      </w:r>
      <w:r>
        <w:rPr>
          <w:highlight w:val="yellow"/>
        </w:rPr>
        <w:t xml:space="preserve">The drop leg — measure from the stored vendor Reach position rather than their GPS at Picked-Up?</w:t>
      </w:r>
    </w:p>
    <w:p>
      <w:pPr>
        <w:spacing w:before="110" w:after="110"/>
        <w:ind w:left="360" w:hanging="180"/>
      </w:pPr>
      <w:r>
        <w:t xml:space="preserve">•  </w:t>
      </w:r>
      <w:r>
        <w:rPr>
          <w:highlight w:val="yellow"/>
        </w:rPr>
        <w:t xml:space="preserve">Two points in your email are resolved by your own attachment, so we have followed the attachment:</w:t>
      </w:r>
      <w:r>
        <w:t xml:space="preserve"> it keeps Vendor_Distance and names it the REPAIR payment figure, and it specifies agent-entry locations for Roundtrip_Distance in both service types. Please confirm the attachment governs.</w:t>
      </w:r>
    </w:p>
    <w:sectPr>
      <w:pgSz w:w="16838" w:h="11906" w:orient="landscape"/>
      <w:pgMar w:top="800" w:right="800" w:bottom="800" w:left="800"/>
    </w:sectPr>
  </w:body>
</w:document>
</file>