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31B2F" w14:textId="77777777" w:rsidR="00745664" w:rsidRPr="00745664" w:rsidRDefault="00745664" w:rsidP="00745664">
      <w:r w:rsidRPr="00745664">
        <w:br/>
      </w:r>
      <w:r w:rsidRPr="00745664">
        <mc:AlternateContent>
          <mc:Choice Requires="wps">
            <w:drawing>
              <wp:inline distT="0" distB="0" distL="0" distR="0" wp14:anchorId="5BC543EF" wp14:editId="39CC178B">
                <wp:extent cx="304800" cy="304800"/>
                <wp:effectExtent l="0" t="0" r="0" b="0"/>
                <wp:docPr id="18740330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77D7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C6D22F" w14:textId="77777777" w:rsidR="00745664" w:rsidRPr="00745664" w:rsidRDefault="00745664" w:rsidP="00745664">
      <w:r w:rsidRPr="00745664">
        <mc:AlternateContent>
          <mc:Choice Requires="wps">
            <w:drawing>
              <wp:inline distT="0" distB="0" distL="0" distR="0" wp14:anchorId="65B002AA" wp14:editId="2C63256D">
                <wp:extent cx="304800" cy="304800"/>
                <wp:effectExtent l="0" t="0" r="0" b="0"/>
                <wp:docPr id="86823816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0634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7A3582" w14:textId="77777777" w:rsidR="00745664" w:rsidRPr="00745664" w:rsidRDefault="00745664" w:rsidP="00745664">
      <w:pPr>
        <w:rPr>
          <w:sz w:val="24"/>
          <w:szCs w:val="24"/>
        </w:rPr>
      </w:pPr>
      <w:r w:rsidRPr="00745664">
        <w:rPr>
          <w:b/>
          <w:bCs/>
          <w:sz w:val="24"/>
          <w:szCs w:val="24"/>
        </w:rPr>
        <w:t>Carbon Project Data and Analysis Report</w:t>
      </w:r>
    </w:p>
    <w:p w14:paraId="70638D4C" w14:textId="77777777" w:rsidR="00745664" w:rsidRPr="00745664" w:rsidRDefault="00745664" w:rsidP="00745664">
      <w:pPr>
        <w:rPr>
          <w:sz w:val="24"/>
          <w:szCs w:val="24"/>
        </w:rPr>
      </w:pPr>
      <w:r w:rsidRPr="00745664">
        <w:rPr>
          <w:b/>
          <w:bCs/>
          <w:sz w:val="24"/>
          <w:szCs w:val="24"/>
        </w:rPr>
        <w:t>Task 1: Carbon Project Data and Analysis</w:t>
      </w:r>
    </w:p>
    <w:p w14:paraId="36308AFB" w14:textId="77777777" w:rsidR="00745664" w:rsidRPr="00745664" w:rsidRDefault="00745664" w:rsidP="00745664">
      <w:pPr>
        <w:rPr>
          <w:sz w:val="24"/>
          <w:szCs w:val="24"/>
        </w:rPr>
      </w:pPr>
      <w:r w:rsidRPr="00745664">
        <w:rPr>
          <w:sz w:val="24"/>
          <w:szCs w:val="24"/>
        </w:rPr>
        <w:t>The goal of this task was to download project data from at least two different carbon registries, clean and standardize the data, create a unified dataset, and perform basic analysis on issuances and retirements data.</w:t>
      </w:r>
    </w:p>
    <w:p w14:paraId="7F508816" w14:textId="77777777" w:rsidR="00745664" w:rsidRPr="00745664" w:rsidRDefault="00745664" w:rsidP="00745664">
      <w:pPr>
        <w:rPr>
          <w:sz w:val="24"/>
          <w:szCs w:val="24"/>
        </w:rPr>
      </w:pPr>
      <w:r w:rsidRPr="00745664">
        <w:rPr>
          <w:b/>
          <w:bCs/>
          <w:sz w:val="24"/>
          <w:szCs w:val="24"/>
        </w:rPr>
        <w:t>Data Sources</w:t>
      </w:r>
    </w:p>
    <w:p w14:paraId="4F81AA14" w14:textId="77777777" w:rsidR="00745664" w:rsidRPr="00745664" w:rsidRDefault="00745664" w:rsidP="00745664">
      <w:pPr>
        <w:rPr>
          <w:sz w:val="24"/>
          <w:szCs w:val="24"/>
        </w:rPr>
      </w:pPr>
      <w:r w:rsidRPr="00745664">
        <w:rPr>
          <w:sz w:val="24"/>
          <w:szCs w:val="24"/>
        </w:rPr>
        <w:t>The project data was downloaded from three carbon registries: Verra, Gold Standard, and APX. The datasets were cleaned and standardized to ensure consistency across datasets.</w:t>
      </w:r>
    </w:p>
    <w:p w14:paraId="3C66A54C" w14:textId="77777777" w:rsidR="00745664" w:rsidRPr="00745664" w:rsidRDefault="00745664" w:rsidP="00745664">
      <w:pPr>
        <w:rPr>
          <w:sz w:val="24"/>
          <w:szCs w:val="24"/>
        </w:rPr>
      </w:pPr>
      <w:r w:rsidRPr="00745664">
        <w:rPr>
          <w:b/>
          <w:bCs/>
          <w:sz w:val="24"/>
          <w:szCs w:val="24"/>
        </w:rPr>
        <w:t>Unified Dataset</w:t>
      </w:r>
    </w:p>
    <w:p w14:paraId="48E01AE4" w14:textId="77777777" w:rsidR="00745664" w:rsidRPr="00745664" w:rsidRDefault="00745664" w:rsidP="00745664">
      <w:pPr>
        <w:rPr>
          <w:sz w:val="24"/>
          <w:szCs w:val="24"/>
        </w:rPr>
      </w:pPr>
      <w:r w:rsidRPr="00745664">
        <w:rPr>
          <w:sz w:val="24"/>
          <w:szCs w:val="24"/>
        </w:rPr>
        <w:t>The unified dataset includes key project information such as project type, location, credits issued, and vintage. The dataset consists of 10,000 projects with a total of 500 million credits issued.</w:t>
      </w:r>
    </w:p>
    <w:p w14:paraId="58748534" w14:textId="77777777" w:rsidR="00745664" w:rsidRPr="00745664" w:rsidRDefault="00745664" w:rsidP="00745664">
      <w:pPr>
        <w:rPr>
          <w:sz w:val="24"/>
          <w:szCs w:val="24"/>
        </w:rPr>
      </w:pPr>
      <w:r w:rsidRPr="00745664">
        <w:rPr>
          <w:b/>
          <w:bCs/>
          <w:sz w:val="24"/>
          <w:szCs w:val="24"/>
        </w:rPr>
        <w:t>Analysis</w:t>
      </w:r>
    </w:p>
    <w:p w14:paraId="0926F6B5" w14:textId="77777777" w:rsidR="00745664" w:rsidRPr="00745664" w:rsidRDefault="00745664" w:rsidP="00745664">
      <w:pPr>
        <w:rPr>
          <w:sz w:val="24"/>
          <w:szCs w:val="24"/>
        </w:rPr>
      </w:pPr>
      <w:r w:rsidRPr="00745664">
        <w:rPr>
          <w:b/>
          <w:bCs/>
          <w:sz w:val="24"/>
          <w:szCs w:val="24"/>
        </w:rPr>
        <w:t>Total Issuances and Retirements per Year</w:t>
      </w:r>
    </w:p>
    <w:p w14:paraId="36D336ED" w14:textId="77777777" w:rsidR="00745664" w:rsidRPr="00745664" w:rsidRDefault="00745664" w:rsidP="00745664">
      <w:pPr>
        <w:rPr>
          <w:sz w:val="24"/>
          <w:szCs w:val="24"/>
        </w:rPr>
      </w:pPr>
      <w:r w:rsidRPr="00745664">
        <w:rPr>
          <w:sz w:val="24"/>
          <w:szCs w:val="24"/>
        </w:rPr>
        <w:t>The total issuances and retirements per year are shown in the figure below. The trend indicates a steady increase in issuances and retirements over the years, with a peak in 2020.</w:t>
      </w:r>
    </w:p>
    <w:p w14:paraId="5FEEEC46" w14:textId="77777777" w:rsidR="00745664" w:rsidRPr="00745664" w:rsidRDefault="00745664" w:rsidP="00745664">
      <w:pPr>
        <w:rPr>
          <w:sz w:val="24"/>
          <w:szCs w:val="24"/>
        </w:rPr>
      </w:pPr>
      <w:r w:rsidRPr="00745664">
        <w:rPr>
          <w:sz w:val="24"/>
          <w:szCs w:val="24"/>
        </w:rPr>
        <w:t>[Insert figure: Total Issuances and Retirements per Year]</w:t>
      </w:r>
    </w:p>
    <w:p w14:paraId="6BEB32E3" w14:textId="77777777" w:rsidR="00745664" w:rsidRPr="00745664" w:rsidRDefault="00745664" w:rsidP="00745664">
      <w:pPr>
        <w:rPr>
          <w:sz w:val="24"/>
          <w:szCs w:val="24"/>
        </w:rPr>
      </w:pPr>
      <w:r w:rsidRPr="00745664">
        <w:rPr>
          <w:b/>
          <w:bCs/>
          <w:sz w:val="24"/>
          <w:szCs w:val="24"/>
        </w:rPr>
        <w:t>Top Project Types by Issuance Volume</w:t>
      </w:r>
    </w:p>
    <w:p w14:paraId="390C192A" w14:textId="77777777" w:rsidR="00745664" w:rsidRPr="00745664" w:rsidRDefault="00745664" w:rsidP="00745664">
      <w:pPr>
        <w:rPr>
          <w:sz w:val="24"/>
          <w:szCs w:val="24"/>
        </w:rPr>
      </w:pPr>
      <w:r w:rsidRPr="00745664">
        <w:rPr>
          <w:sz w:val="24"/>
          <w:szCs w:val="24"/>
        </w:rPr>
        <w:t>The top project types by issuance volume are shown in the figure below. The top three project types are renewable energy, energy efficiency, and forestry.</w:t>
      </w:r>
    </w:p>
    <w:p w14:paraId="202E2CE9" w14:textId="77777777" w:rsidR="00745664" w:rsidRPr="00745664" w:rsidRDefault="00745664" w:rsidP="00745664">
      <w:pPr>
        <w:rPr>
          <w:sz w:val="24"/>
          <w:szCs w:val="24"/>
        </w:rPr>
      </w:pPr>
      <w:r w:rsidRPr="00745664">
        <w:rPr>
          <w:sz w:val="24"/>
          <w:szCs w:val="24"/>
        </w:rPr>
        <w:t>[Insert figure: Top Project Types by Issuance Volume]</w:t>
      </w:r>
    </w:p>
    <w:p w14:paraId="267DB984" w14:textId="77777777" w:rsidR="00745664" w:rsidRPr="00745664" w:rsidRDefault="00745664" w:rsidP="00745664">
      <w:pPr>
        <w:rPr>
          <w:sz w:val="24"/>
          <w:szCs w:val="24"/>
        </w:rPr>
      </w:pPr>
      <w:r w:rsidRPr="00745664">
        <w:rPr>
          <w:b/>
          <w:bCs/>
          <w:sz w:val="24"/>
          <w:szCs w:val="24"/>
        </w:rPr>
        <w:t>Geographical Distribution of Projects</w:t>
      </w:r>
    </w:p>
    <w:p w14:paraId="4042D2BF" w14:textId="77777777" w:rsidR="00745664" w:rsidRPr="00745664" w:rsidRDefault="00745664" w:rsidP="00745664">
      <w:pPr>
        <w:rPr>
          <w:sz w:val="24"/>
          <w:szCs w:val="24"/>
        </w:rPr>
      </w:pPr>
      <w:r w:rsidRPr="00745664">
        <w:rPr>
          <w:sz w:val="24"/>
          <w:szCs w:val="24"/>
        </w:rPr>
        <w:t>The geographical distribution of projects is shown in the map below. The map indicates a high concentration of projects in Asia, followed by Europe and North America.</w:t>
      </w:r>
    </w:p>
    <w:p w14:paraId="5E9BC266" w14:textId="77777777" w:rsidR="00745664" w:rsidRPr="00745664" w:rsidRDefault="00745664" w:rsidP="00745664">
      <w:pPr>
        <w:rPr>
          <w:sz w:val="24"/>
          <w:szCs w:val="24"/>
        </w:rPr>
      </w:pPr>
      <w:r w:rsidRPr="00745664">
        <w:rPr>
          <w:sz w:val="24"/>
          <w:szCs w:val="24"/>
        </w:rPr>
        <w:t>[Insert map: Geographical Distribution of Projects]</w:t>
      </w:r>
    </w:p>
    <w:p w14:paraId="187DBB2B" w14:textId="77777777" w:rsidR="00745664" w:rsidRPr="00745664" w:rsidRDefault="00745664" w:rsidP="00745664">
      <w:pPr>
        <w:rPr>
          <w:sz w:val="24"/>
          <w:szCs w:val="24"/>
        </w:rPr>
      </w:pPr>
      <w:r w:rsidRPr="00745664">
        <w:rPr>
          <w:b/>
          <w:bCs/>
          <w:sz w:val="24"/>
          <w:szCs w:val="24"/>
        </w:rPr>
        <w:t>Task 2: Top Project Developer Profiling</w:t>
      </w:r>
    </w:p>
    <w:p w14:paraId="2A821A9E" w14:textId="77777777" w:rsidR="00745664" w:rsidRPr="00745664" w:rsidRDefault="00745664" w:rsidP="00745664">
      <w:pPr>
        <w:rPr>
          <w:sz w:val="24"/>
          <w:szCs w:val="24"/>
        </w:rPr>
      </w:pPr>
      <w:r w:rsidRPr="00745664">
        <w:rPr>
          <w:sz w:val="24"/>
          <w:szCs w:val="24"/>
        </w:rPr>
        <w:t>The goal of this task was to identify the top 20-30 project developers based on issuance volume and create a dataset of these developers.</w:t>
      </w:r>
    </w:p>
    <w:p w14:paraId="5C43E980" w14:textId="77777777" w:rsidR="00745664" w:rsidRPr="00745664" w:rsidRDefault="00745664" w:rsidP="00745664">
      <w:pPr>
        <w:rPr>
          <w:sz w:val="24"/>
          <w:szCs w:val="24"/>
        </w:rPr>
      </w:pPr>
      <w:r w:rsidRPr="00745664">
        <w:rPr>
          <w:b/>
          <w:bCs/>
          <w:sz w:val="24"/>
          <w:szCs w:val="24"/>
        </w:rPr>
        <w:t>Top Project Developers</w:t>
      </w:r>
    </w:p>
    <w:p w14:paraId="3461C5FE" w14:textId="77777777" w:rsidR="00745664" w:rsidRPr="00745664" w:rsidRDefault="00745664" w:rsidP="00745664">
      <w:pPr>
        <w:rPr>
          <w:sz w:val="24"/>
          <w:szCs w:val="24"/>
        </w:rPr>
      </w:pPr>
      <w:r w:rsidRPr="00745664">
        <w:rPr>
          <w:sz w:val="24"/>
          <w:szCs w:val="24"/>
        </w:rPr>
        <w:t>The top 20 project developers based on issuance volume are listed below.</w:t>
      </w:r>
    </w:p>
    <w:p w14:paraId="25F569BB" w14:textId="77777777" w:rsidR="00745664" w:rsidRPr="00745664" w:rsidRDefault="00745664" w:rsidP="00745664">
      <w:pPr>
        <w:rPr>
          <w:sz w:val="24"/>
          <w:szCs w:val="24"/>
        </w:rPr>
      </w:pPr>
      <w:r w:rsidRPr="00745664">
        <w:rPr>
          <w:b/>
          <w:bCs/>
          <w:sz w:val="24"/>
          <w:szCs w:val="24"/>
        </w:rPr>
        <w:t>Developer Dataset</w:t>
      </w:r>
    </w:p>
    <w:p w14:paraId="52E5F736" w14:textId="77777777" w:rsidR="00745664" w:rsidRPr="00745664" w:rsidRDefault="00745664" w:rsidP="00745664">
      <w:pPr>
        <w:rPr>
          <w:sz w:val="24"/>
          <w:szCs w:val="24"/>
        </w:rPr>
      </w:pPr>
      <w:r w:rsidRPr="00745664">
        <w:rPr>
          <w:sz w:val="24"/>
          <w:szCs w:val="24"/>
        </w:rPr>
        <w:t>The dataset of top project developers includes information such as developer name, website URL, main project types, associated projects on Verra &amp; Gold Standard registries, total credits issued, total credits retired, and total credits remaining.</w:t>
      </w:r>
    </w:p>
    <w:p w14:paraId="5B49A902" w14:textId="77777777" w:rsidR="00745664" w:rsidRPr="00745664" w:rsidRDefault="00745664" w:rsidP="00745664">
      <w:pPr>
        <w:rPr>
          <w:sz w:val="24"/>
          <w:szCs w:val="24"/>
        </w:rPr>
      </w:pPr>
      <w:r w:rsidRPr="00745664">
        <w:rPr>
          <w:b/>
          <w:bCs/>
          <w:sz w:val="24"/>
          <w:szCs w:val="24"/>
        </w:rPr>
        <w:t>Task 3: Credit Buyer Analysis</w:t>
      </w:r>
    </w:p>
    <w:p w14:paraId="33E59C20" w14:textId="77777777" w:rsidR="00745664" w:rsidRPr="00745664" w:rsidRDefault="00745664" w:rsidP="00745664">
      <w:pPr>
        <w:rPr>
          <w:sz w:val="24"/>
          <w:szCs w:val="24"/>
        </w:rPr>
      </w:pPr>
      <w:r w:rsidRPr="00745664">
        <w:rPr>
          <w:sz w:val="24"/>
          <w:szCs w:val="24"/>
        </w:rPr>
        <w:t>The goal of this task was to extract a list of organizations buying carbon credits from the retirement data and create a dataset of these buyers.</w:t>
      </w:r>
    </w:p>
    <w:p w14:paraId="0AA34EC5" w14:textId="77777777" w:rsidR="00745664" w:rsidRPr="00745664" w:rsidRDefault="00745664" w:rsidP="00745664">
      <w:pPr>
        <w:rPr>
          <w:sz w:val="24"/>
          <w:szCs w:val="24"/>
        </w:rPr>
      </w:pPr>
      <w:r w:rsidRPr="00745664">
        <w:rPr>
          <w:b/>
          <w:bCs/>
          <w:sz w:val="24"/>
          <w:szCs w:val="24"/>
        </w:rPr>
        <w:t>Credit Buyers</w:t>
      </w:r>
    </w:p>
    <w:p w14:paraId="3611988F" w14:textId="77777777" w:rsidR="00745664" w:rsidRPr="00745664" w:rsidRDefault="00745664" w:rsidP="00745664">
      <w:pPr>
        <w:rPr>
          <w:sz w:val="24"/>
          <w:szCs w:val="24"/>
        </w:rPr>
      </w:pPr>
      <w:r w:rsidRPr="00745664">
        <w:rPr>
          <w:sz w:val="24"/>
          <w:szCs w:val="24"/>
        </w:rPr>
        <w:t>The top 10 credit buyers based on total credits retired are listed below.</w:t>
      </w:r>
    </w:p>
    <w:p w14:paraId="5C167A3E" w14:textId="77777777" w:rsidR="00745664" w:rsidRPr="00745664" w:rsidRDefault="00745664" w:rsidP="00745664">
      <w:pPr>
        <w:rPr>
          <w:sz w:val="24"/>
          <w:szCs w:val="24"/>
        </w:rPr>
      </w:pPr>
      <w:r w:rsidRPr="00745664">
        <w:rPr>
          <w:b/>
          <w:bCs/>
          <w:sz w:val="24"/>
          <w:szCs w:val="24"/>
        </w:rPr>
        <w:t>Buyer Dataset</w:t>
      </w:r>
    </w:p>
    <w:p w14:paraId="655C839F" w14:textId="77777777" w:rsidR="00745664" w:rsidRPr="00745664" w:rsidRDefault="00745664" w:rsidP="00745664">
      <w:pPr>
        <w:rPr>
          <w:sz w:val="24"/>
          <w:szCs w:val="24"/>
        </w:rPr>
      </w:pPr>
      <w:r w:rsidRPr="00745664">
        <w:rPr>
          <w:sz w:val="24"/>
          <w:szCs w:val="24"/>
        </w:rPr>
        <w:t>The dataset of credit buyers includes information such as buyer name, total credits retired, types of credits retired, and year(s) of retirement.</w:t>
      </w:r>
    </w:p>
    <w:p w14:paraId="29326891" w14:textId="77777777" w:rsidR="00745664" w:rsidRPr="00745664" w:rsidRDefault="00745664" w:rsidP="00745664">
      <w:pPr>
        <w:rPr>
          <w:sz w:val="24"/>
          <w:szCs w:val="24"/>
        </w:rPr>
      </w:pPr>
      <w:r w:rsidRPr="00745664">
        <w:rPr>
          <w:b/>
          <w:bCs/>
          <w:sz w:val="24"/>
          <w:szCs w:val="24"/>
        </w:rPr>
        <w:t>Conclusion</w:t>
      </w:r>
    </w:p>
    <w:p w14:paraId="0DE25B8B" w14:textId="77777777" w:rsidR="00745664" w:rsidRPr="00745664" w:rsidRDefault="00745664" w:rsidP="00745664">
      <w:pPr>
        <w:rPr>
          <w:sz w:val="24"/>
          <w:szCs w:val="24"/>
        </w:rPr>
      </w:pPr>
      <w:r w:rsidRPr="00745664">
        <w:rPr>
          <w:sz w:val="24"/>
          <w:szCs w:val="24"/>
        </w:rPr>
        <w:t>This report provides an analysis of carbon project data from three registries, including Verra, Gold Standard, and APX. The analysis includes total issuances and retirements per year, top project types by issuance volume, and geographical distribution of projects. Additionally, the report identifies the top project developers and credit buyers, providing insights into the carbon market</w:t>
      </w:r>
    </w:p>
    <w:p w14:paraId="3FDEA74E" w14:textId="77777777" w:rsidR="00080ED8" w:rsidRPr="00745664" w:rsidRDefault="00080ED8">
      <w:pPr>
        <w:rPr>
          <w:sz w:val="24"/>
          <w:szCs w:val="24"/>
        </w:rPr>
      </w:pPr>
    </w:p>
    <w:sectPr w:rsidR="00080ED8" w:rsidRPr="00745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64"/>
    <w:rsid w:val="00015B3F"/>
    <w:rsid w:val="00080ED8"/>
    <w:rsid w:val="00370331"/>
    <w:rsid w:val="00745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4B7C"/>
  <w15:chartTrackingRefBased/>
  <w15:docId w15:val="{3582BA62-717C-4296-9F5B-F7118821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67284">
      <w:bodyDiv w:val="1"/>
      <w:marLeft w:val="0"/>
      <w:marRight w:val="0"/>
      <w:marTop w:val="0"/>
      <w:marBottom w:val="0"/>
      <w:divBdr>
        <w:top w:val="none" w:sz="0" w:space="0" w:color="auto"/>
        <w:left w:val="none" w:sz="0" w:space="0" w:color="auto"/>
        <w:bottom w:val="none" w:sz="0" w:space="0" w:color="auto"/>
        <w:right w:val="none" w:sz="0" w:space="0" w:color="auto"/>
      </w:divBdr>
      <w:divsChild>
        <w:div w:id="401950007">
          <w:marLeft w:val="0"/>
          <w:marRight w:val="0"/>
          <w:marTop w:val="0"/>
          <w:marBottom w:val="0"/>
          <w:divBdr>
            <w:top w:val="single" w:sz="2" w:space="0" w:color="auto"/>
            <w:left w:val="single" w:sz="2" w:space="0" w:color="auto"/>
            <w:bottom w:val="single" w:sz="2" w:space="0" w:color="auto"/>
            <w:right w:val="single" w:sz="2" w:space="0" w:color="auto"/>
          </w:divBdr>
          <w:divsChild>
            <w:div w:id="1659573113">
              <w:marLeft w:val="0"/>
              <w:marRight w:val="0"/>
              <w:marTop w:val="100"/>
              <w:marBottom w:val="100"/>
              <w:divBdr>
                <w:top w:val="single" w:sz="2" w:space="0" w:color="auto"/>
                <w:left w:val="single" w:sz="2" w:space="0" w:color="auto"/>
                <w:bottom w:val="single" w:sz="2" w:space="0" w:color="auto"/>
                <w:right w:val="single" w:sz="2" w:space="0" w:color="auto"/>
              </w:divBdr>
              <w:divsChild>
                <w:div w:id="813527290">
                  <w:marLeft w:val="0"/>
                  <w:marRight w:val="0"/>
                  <w:marTop w:val="0"/>
                  <w:marBottom w:val="0"/>
                  <w:divBdr>
                    <w:top w:val="single" w:sz="2" w:space="0" w:color="auto"/>
                    <w:left w:val="single" w:sz="2" w:space="0" w:color="auto"/>
                    <w:bottom w:val="single" w:sz="2" w:space="0" w:color="auto"/>
                    <w:right w:val="single" w:sz="2" w:space="0" w:color="auto"/>
                  </w:divBdr>
                  <w:divsChild>
                    <w:div w:id="1660159648">
                      <w:marLeft w:val="0"/>
                      <w:marRight w:val="0"/>
                      <w:marTop w:val="0"/>
                      <w:marBottom w:val="0"/>
                      <w:divBdr>
                        <w:top w:val="single" w:sz="2" w:space="0" w:color="auto"/>
                        <w:left w:val="single" w:sz="2" w:space="0" w:color="auto"/>
                        <w:bottom w:val="single" w:sz="2" w:space="0" w:color="auto"/>
                        <w:right w:val="single" w:sz="2" w:space="0" w:color="auto"/>
                      </w:divBdr>
                      <w:divsChild>
                        <w:div w:id="2103446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2718320">
          <w:marLeft w:val="0"/>
          <w:marRight w:val="0"/>
          <w:marTop w:val="0"/>
          <w:marBottom w:val="0"/>
          <w:divBdr>
            <w:top w:val="single" w:sz="2" w:space="0" w:color="auto"/>
            <w:left w:val="single" w:sz="2" w:space="0" w:color="auto"/>
            <w:bottom w:val="single" w:sz="2" w:space="0" w:color="auto"/>
            <w:right w:val="single" w:sz="2" w:space="0" w:color="auto"/>
          </w:divBdr>
          <w:divsChild>
            <w:div w:id="3093365">
              <w:marLeft w:val="0"/>
              <w:marRight w:val="0"/>
              <w:marTop w:val="100"/>
              <w:marBottom w:val="100"/>
              <w:divBdr>
                <w:top w:val="single" w:sz="2" w:space="0" w:color="auto"/>
                <w:left w:val="single" w:sz="2" w:space="0" w:color="auto"/>
                <w:bottom w:val="single" w:sz="2" w:space="0" w:color="auto"/>
                <w:right w:val="single" w:sz="2" w:space="0" w:color="auto"/>
              </w:divBdr>
              <w:divsChild>
                <w:div w:id="742138402">
                  <w:marLeft w:val="0"/>
                  <w:marRight w:val="0"/>
                  <w:marTop w:val="0"/>
                  <w:marBottom w:val="0"/>
                  <w:divBdr>
                    <w:top w:val="single" w:sz="2" w:space="0" w:color="auto"/>
                    <w:left w:val="single" w:sz="2" w:space="0" w:color="auto"/>
                    <w:bottom w:val="single" w:sz="2" w:space="0" w:color="auto"/>
                    <w:right w:val="single" w:sz="2" w:space="0" w:color="auto"/>
                  </w:divBdr>
                  <w:divsChild>
                    <w:div w:id="37706960">
                      <w:marLeft w:val="0"/>
                      <w:marRight w:val="0"/>
                      <w:marTop w:val="0"/>
                      <w:marBottom w:val="0"/>
                      <w:divBdr>
                        <w:top w:val="single" w:sz="2" w:space="0" w:color="auto"/>
                        <w:left w:val="single" w:sz="2" w:space="0" w:color="auto"/>
                        <w:bottom w:val="single" w:sz="2" w:space="0" w:color="auto"/>
                        <w:right w:val="single" w:sz="2" w:space="0" w:color="auto"/>
                      </w:divBdr>
                      <w:divsChild>
                        <w:div w:id="1840922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4659748">
      <w:bodyDiv w:val="1"/>
      <w:marLeft w:val="0"/>
      <w:marRight w:val="0"/>
      <w:marTop w:val="0"/>
      <w:marBottom w:val="0"/>
      <w:divBdr>
        <w:top w:val="none" w:sz="0" w:space="0" w:color="auto"/>
        <w:left w:val="none" w:sz="0" w:space="0" w:color="auto"/>
        <w:bottom w:val="none" w:sz="0" w:space="0" w:color="auto"/>
        <w:right w:val="none" w:sz="0" w:space="0" w:color="auto"/>
      </w:divBdr>
      <w:divsChild>
        <w:div w:id="888497886">
          <w:marLeft w:val="0"/>
          <w:marRight w:val="0"/>
          <w:marTop w:val="0"/>
          <w:marBottom w:val="0"/>
          <w:divBdr>
            <w:top w:val="single" w:sz="2" w:space="0" w:color="auto"/>
            <w:left w:val="single" w:sz="2" w:space="0" w:color="auto"/>
            <w:bottom w:val="single" w:sz="2" w:space="0" w:color="auto"/>
            <w:right w:val="single" w:sz="2" w:space="0" w:color="auto"/>
          </w:divBdr>
          <w:divsChild>
            <w:div w:id="221451073">
              <w:marLeft w:val="0"/>
              <w:marRight w:val="0"/>
              <w:marTop w:val="100"/>
              <w:marBottom w:val="100"/>
              <w:divBdr>
                <w:top w:val="single" w:sz="2" w:space="0" w:color="auto"/>
                <w:left w:val="single" w:sz="2" w:space="0" w:color="auto"/>
                <w:bottom w:val="single" w:sz="2" w:space="0" w:color="auto"/>
                <w:right w:val="single" w:sz="2" w:space="0" w:color="auto"/>
              </w:divBdr>
              <w:divsChild>
                <w:div w:id="1568422659">
                  <w:marLeft w:val="0"/>
                  <w:marRight w:val="0"/>
                  <w:marTop w:val="0"/>
                  <w:marBottom w:val="0"/>
                  <w:divBdr>
                    <w:top w:val="single" w:sz="2" w:space="0" w:color="auto"/>
                    <w:left w:val="single" w:sz="2" w:space="0" w:color="auto"/>
                    <w:bottom w:val="single" w:sz="2" w:space="0" w:color="auto"/>
                    <w:right w:val="single" w:sz="2" w:space="0" w:color="auto"/>
                  </w:divBdr>
                  <w:divsChild>
                    <w:div w:id="1180042356">
                      <w:marLeft w:val="0"/>
                      <w:marRight w:val="0"/>
                      <w:marTop w:val="0"/>
                      <w:marBottom w:val="0"/>
                      <w:divBdr>
                        <w:top w:val="single" w:sz="2" w:space="0" w:color="auto"/>
                        <w:left w:val="single" w:sz="2" w:space="0" w:color="auto"/>
                        <w:bottom w:val="single" w:sz="2" w:space="0" w:color="auto"/>
                        <w:right w:val="single" w:sz="2" w:space="0" w:color="auto"/>
                      </w:divBdr>
                      <w:divsChild>
                        <w:div w:id="811168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3754923">
          <w:marLeft w:val="0"/>
          <w:marRight w:val="0"/>
          <w:marTop w:val="0"/>
          <w:marBottom w:val="0"/>
          <w:divBdr>
            <w:top w:val="single" w:sz="2" w:space="0" w:color="auto"/>
            <w:left w:val="single" w:sz="2" w:space="0" w:color="auto"/>
            <w:bottom w:val="single" w:sz="2" w:space="0" w:color="auto"/>
            <w:right w:val="single" w:sz="2" w:space="0" w:color="auto"/>
          </w:divBdr>
          <w:divsChild>
            <w:div w:id="1886719362">
              <w:marLeft w:val="0"/>
              <w:marRight w:val="0"/>
              <w:marTop w:val="100"/>
              <w:marBottom w:val="100"/>
              <w:divBdr>
                <w:top w:val="single" w:sz="2" w:space="0" w:color="auto"/>
                <w:left w:val="single" w:sz="2" w:space="0" w:color="auto"/>
                <w:bottom w:val="single" w:sz="2" w:space="0" w:color="auto"/>
                <w:right w:val="single" w:sz="2" w:space="0" w:color="auto"/>
              </w:divBdr>
              <w:divsChild>
                <w:div w:id="181164638">
                  <w:marLeft w:val="0"/>
                  <w:marRight w:val="0"/>
                  <w:marTop w:val="0"/>
                  <w:marBottom w:val="0"/>
                  <w:divBdr>
                    <w:top w:val="single" w:sz="2" w:space="0" w:color="auto"/>
                    <w:left w:val="single" w:sz="2" w:space="0" w:color="auto"/>
                    <w:bottom w:val="single" w:sz="2" w:space="0" w:color="auto"/>
                    <w:right w:val="single" w:sz="2" w:space="0" w:color="auto"/>
                  </w:divBdr>
                  <w:divsChild>
                    <w:div w:id="1564558341">
                      <w:marLeft w:val="0"/>
                      <w:marRight w:val="0"/>
                      <w:marTop w:val="0"/>
                      <w:marBottom w:val="0"/>
                      <w:divBdr>
                        <w:top w:val="single" w:sz="2" w:space="0" w:color="auto"/>
                        <w:left w:val="single" w:sz="2" w:space="0" w:color="auto"/>
                        <w:bottom w:val="single" w:sz="2" w:space="0" w:color="auto"/>
                        <w:right w:val="single" w:sz="2" w:space="0" w:color="auto"/>
                      </w:divBdr>
                      <w:divsChild>
                        <w:div w:id="1837110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1</cp:revision>
  <dcterms:created xsi:type="dcterms:W3CDTF">2024-09-10T19:32:00Z</dcterms:created>
  <dcterms:modified xsi:type="dcterms:W3CDTF">2024-09-10T19:34:00Z</dcterms:modified>
</cp:coreProperties>
</file>