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3EB" w:rsidRDefault="002A04F9" w:rsidP="002A04F9">
      <w:pPr>
        <w:pStyle w:val="ListParagraph"/>
        <w:numPr>
          <w:ilvl w:val="0"/>
          <w:numId w:val="1"/>
        </w:numPr>
      </w:pPr>
      <w:r>
        <w:t>RMSE Vs RMSLE</w:t>
      </w:r>
    </w:p>
    <w:p w:rsidR="002A04F9" w:rsidRPr="002A04F9" w:rsidRDefault="002A04F9" w:rsidP="002A04F9">
      <w:pPr>
        <w:pStyle w:val="ListParagraph"/>
        <w:numPr>
          <w:ilvl w:val="1"/>
          <w:numId w:val="1"/>
        </w:numPr>
        <w:rPr>
          <w:sz w:val="20"/>
          <w:szCs w:val="20"/>
        </w:rPr>
      </w:pPr>
      <w:r w:rsidRPr="002A04F9">
        <w:rPr>
          <w:sz w:val="20"/>
          <w:szCs w:val="20"/>
        </w:rPr>
        <w:t>Root Mean Square Log Error</w:t>
      </w:r>
    </w:p>
    <w:p w:rsidR="002A04F9" w:rsidRPr="002A04F9" w:rsidRDefault="002A04F9" w:rsidP="002A04F9">
      <w:pPr>
        <w:pStyle w:val="ListParagraph"/>
        <w:numPr>
          <w:ilvl w:val="2"/>
          <w:numId w:val="1"/>
        </w:numPr>
        <w:rPr>
          <w:sz w:val="20"/>
          <w:szCs w:val="20"/>
        </w:rPr>
      </w:pPr>
      <w:r w:rsidRPr="002A04F9">
        <w:rPr>
          <w:rFonts w:ascii="Georgia" w:hAnsi="Georgia"/>
          <w:color w:val="333333"/>
          <w:sz w:val="20"/>
          <w:szCs w:val="20"/>
        </w:rPr>
        <w:t>RMSLE measures the ratio between actual and predicted.</w:t>
      </w:r>
    </w:p>
    <w:p w:rsidR="002A04F9" w:rsidRPr="002A04F9" w:rsidRDefault="002A04F9" w:rsidP="002A04F9">
      <w:pPr>
        <w:pStyle w:val="ListParagraph"/>
        <w:numPr>
          <w:ilvl w:val="2"/>
          <w:numId w:val="1"/>
        </w:numPr>
        <w:rPr>
          <w:rStyle w:val="mo"/>
          <w:sz w:val="20"/>
          <w:szCs w:val="20"/>
        </w:rPr>
      </w:pPr>
      <w:r w:rsidRPr="002A04F9">
        <w:rPr>
          <w:rStyle w:val="mi"/>
          <w:rFonts w:ascii="MathJax_Math-italic" w:hAnsi="MathJax_Math-italic"/>
          <w:color w:val="333333"/>
          <w:sz w:val="20"/>
          <w:szCs w:val="20"/>
          <w:bdr w:val="none" w:sz="0" w:space="0" w:color="auto" w:frame="1"/>
        </w:rPr>
        <w:t>log</w:t>
      </w:r>
      <w:r w:rsidRPr="002A04F9">
        <w:rPr>
          <w:rStyle w:val="mo"/>
          <w:rFonts w:ascii="MathJax_Main" w:hAnsi="MathJax_Main"/>
          <w:color w:val="333333"/>
          <w:sz w:val="20"/>
          <w:szCs w:val="20"/>
          <w:bdr w:val="none" w:sz="0" w:space="0" w:color="auto" w:frame="1"/>
        </w:rPr>
        <w:t>(</w:t>
      </w:r>
      <w:r w:rsidRPr="002A04F9">
        <w:rPr>
          <w:rStyle w:val="mi"/>
          <w:rFonts w:ascii="MathJax_Math-italic" w:hAnsi="MathJax_Math-italic"/>
          <w:color w:val="333333"/>
          <w:sz w:val="20"/>
          <w:szCs w:val="20"/>
          <w:bdr w:val="none" w:sz="0" w:space="0" w:color="auto" w:frame="1"/>
        </w:rPr>
        <w:t>pi</w:t>
      </w:r>
      <w:r w:rsidRPr="002A04F9">
        <w:rPr>
          <w:rStyle w:val="mo"/>
          <w:rFonts w:ascii="MathJax_Main" w:hAnsi="MathJax_Main"/>
          <w:color w:val="333333"/>
          <w:sz w:val="20"/>
          <w:szCs w:val="20"/>
          <w:bdr w:val="none" w:sz="0" w:space="0" w:color="auto" w:frame="1"/>
        </w:rPr>
        <w:t>+</w:t>
      </w:r>
      <w:r w:rsidRPr="002A04F9">
        <w:rPr>
          <w:rStyle w:val="mn"/>
          <w:rFonts w:ascii="MathJax_Main" w:hAnsi="MathJax_Main"/>
          <w:color w:val="333333"/>
          <w:sz w:val="20"/>
          <w:szCs w:val="20"/>
          <w:bdr w:val="none" w:sz="0" w:space="0" w:color="auto" w:frame="1"/>
        </w:rPr>
        <w:t>1</w:t>
      </w:r>
      <w:r w:rsidRPr="002A04F9">
        <w:rPr>
          <w:rStyle w:val="mo"/>
          <w:rFonts w:ascii="MathJax_Main" w:hAnsi="MathJax_Main"/>
          <w:color w:val="333333"/>
          <w:sz w:val="20"/>
          <w:szCs w:val="20"/>
          <w:bdr w:val="none" w:sz="0" w:space="0" w:color="auto" w:frame="1"/>
        </w:rPr>
        <w:t>)−</w:t>
      </w:r>
      <w:r w:rsidRPr="002A04F9">
        <w:rPr>
          <w:rStyle w:val="mi"/>
          <w:rFonts w:ascii="MathJax_Math-italic" w:hAnsi="MathJax_Math-italic"/>
          <w:color w:val="333333"/>
          <w:sz w:val="20"/>
          <w:szCs w:val="20"/>
          <w:bdr w:val="none" w:sz="0" w:space="0" w:color="auto" w:frame="1"/>
        </w:rPr>
        <w:t>log</w:t>
      </w:r>
      <w:r w:rsidRPr="002A04F9">
        <w:rPr>
          <w:rStyle w:val="mo"/>
          <w:rFonts w:ascii="MathJax_Main" w:hAnsi="MathJax_Main"/>
          <w:color w:val="333333"/>
          <w:sz w:val="20"/>
          <w:szCs w:val="20"/>
          <w:bdr w:val="none" w:sz="0" w:space="0" w:color="auto" w:frame="1"/>
        </w:rPr>
        <w:t>(</w:t>
      </w:r>
      <w:r w:rsidRPr="002A04F9">
        <w:rPr>
          <w:rStyle w:val="mi"/>
          <w:rFonts w:ascii="MathJax_Math-italic" w:hAnsi="MathJax_Math-italic"/>
          <w:color w:val="333333"/>
          <w:sz w:val="20"/>
          <w:szCs w:val="20"/>
          <w:bdr w:val="none" w:sz="0" w:space="0" w:color="auto" w:frame="1"/>
        </w:rPr>
        <w:t>ai</w:t>
      </w:r>
      <w:r w:rsidRPr="002A04F9">
        <w:rPr>
          <w:rStyle w:val="mo"/>
          <w:rFonts w:ascii="MathJax_Main" w:hAnsi="MathJax_Main"/>
          <w:color w:val="333333"/>
          <w:sz w:val="20"/>
          <w:szCs w:val="20"/>
          <w:bdr w:val="none" w:sz="0" w:space="0" w:color="auto" w:frame="1"/>
        </w:rPr>
        <w:t>+</w:t>
      </w:r>
      <w:r w:rsidRPr="002A04F9">
        <w:rPr>
          <w:rStyle w:val="mn"/>
          <w:rFonts w:ascii="MathJax_Main" w:hAnsi="MathJax_Main"/>
          <w:color w:val="333333"/>
          <w:sz w:val="20"/>
          <w:szCs w:val="20"/>
          <w:bdr w:val="none" w:sz="0" w:space="0" w:color="auto" w:frame="1"/>
        </w:rPr>
        <w:t>1</w:t>
      </w:r>
      <w:r w:rsidRPr="002A04F9">
        <w:rPr>
          <w:rStyle w:val="mo"/>
          <w:rFonts w:ascii="MathJax_Main" w:hAnsi="MathJax_Main"/>
          <w:color w:val="333333"/>
          <w:sz w:val="20"/>
          <w:szCs w:val="20"/>
          <w:bdr w:val="none" w:sz="0" w:space="0" w:color="auto" w:frame="1"/>
        </w:rPr>
        <w:t>)</w:t>
      </w:r>
      <w:r>
        <w:rPr>
          <w:rStyle w:val="mo"/>
          <w:rFonts w:ascii="MathJax_Main" w:hAnsi="MathJax_Main"/>
          <w:color w:val="333333"/>
          <w:sz w:val="20"/>
          <w:szCs w:val="20"/>
          <w:bdr w:val="none" w:sz="0" w:space="0" w:color="auto" w:frame="1"/>
        </w:rPr>
        <w:t xml:space="preserve"> = </w:t>
      </w:r>
      <w:r w:rsidRPr="002A04F9">
        <w:rPr>
          <w:rStyle w:val="mo"/>
          <w:rFonts w:ascii="MathJax_Main" w:hAnsi="MathJax_Main"/>
          <w:sz w:val="20"/>
          <w:szCs w:val="20"/>
        </w:rPr>
        <w:t>log</w:t>
      </w:r>
      <w:r w:rsidRPr="002A04F9">
        <w:rPr>
          <w:rStyle w:val="mo"/>
          <w:rFonts w:ascii="MathJax_Main" w:hAnsi="MathJax_Main"/>
          <w:color w:val="333333"/>
          <w:sz w:val="20"/>
          <w:szCs w:val="20"/>
          <w:bdr w:val="none" w:sz="0" w:space="0" w:color="auto" w:frame="1"/>
        </w:rPr>
        <w:t>((</w:t>
      </w:r>
      <w:r w:rsidRPr="002A04F9">
        <w:rPr>
          <w:rStyle w:val="mo"/>
          <w:rFonts w:ascii="MathJax_Main" w:hAnsi="MathJax_Main"/>
          <w:sz w:val="20"/>
          <w:szCs w:val="20"/>
        </w:rPr>
        <w:t>pi</w:t>
      </w:r>
      <w:r w:rsidRPr="002A04F9">
        <w:rPr>
          <w:rStyle w:val="mo"/>
          <w:rFonts w:ascii="MathJax_Main" w:hAnsi="MathJax_Main"/>
          <w:color w:val="333333"/>
          <w:sz w:val="20"/>
          <w:szCs w:val="20"/>
          <w:bdr w:val="none" w:sz="0" w:space="0" w:color="auto" w:frame="1"/>
        </w:rPr>
        <w:t>+</w:t>
      </w:r>
      <w:r w:rsidRPr="002A04F9">
        <w:rPr>
          <w:rStyle w:val="mo"/>
          <w:sz w:val="20"/>
          <w:szCs w:val="20"/>
        </w:rPr>
        <w:t>1</w:t>
      </w:r>
      <w:r w:rsidRPr="002A04F9">
        <w:rPr>
          <w:rStyle w:val="mo"/>
          <w:rFonts w:ascii="MathJax_Main" w:hAnsi="MathJax_Main"/>
          <w:color w:val="333333"/>
          <w:sz w:val="20"/>
          <w:szCs w:val="20"/>
          <w:bdr w:val="none" w:sz="0" w:space="0" w:color="auto" w:frame="1"/>
        </w:rPr>
        <w:t>)/(</w:t>
      </w:r>
      <w:r w:rsidRPr="002A04F9">
        <w:rPr>
          <w:rStyle w:val="mo"/>
          <w:rFonts w:ascii="MathJax_Main" w:hAnsi="MathJax_Main"/>
          <w:sz w:val="20"/>
          <w:szCs w:val="20"/>
        </w:rPr>
        <w:t>ai</w:t>
      </w:r>
      <w:r w:rsidRPr="002A04F9">
        <w:rPr>
          <w:rStyle w:val="mo"/>
          <w:rFonts w:ascii="MathJax_Main" w:hAnsi="MathJax_Main"/>
          <w:color w:val="333333"/>
          <w:sz w:val="20"/>
          <w:szCs w:val="20"/>
          <w:bdr w:val="none" w:sz="0" w:space="0" w:color="auto" w:frame="1"/>
        </w:rPr>
        <w:t>+</w:t>
      </w:r>
      <w:r w:rsidRPr="002A04F9">
        <w:rPr>
          <w:rStyle w:val="mo"/>
          <w:sz w:val="20"/>
          <w:szCs w:val="20"/>
        </w:rPr>
        <w:t>1</w:t>
      </w:r>
      <w:r w:rsidRPr="002A04F9">
        <w:rPr>
          <w:rStyle w:val="mo"/>
          <w:rFonts w:ascii="MathJax_Main" w:hAnsi="MathJax_Main"/>
          <w:color w:val="333333"/>
          <w:sz w:val="20"/>
          <w:szCs w:val="20"/>
          <w:bdr w:val="none" w:sz="0" w:space="0" w:color="auto" w:frame="1"/>
        </w:rPr>
        <w:t>))</w:t>
      </w:r>
    </w:p>
    <w:p w:rsidR="002A04F9" w:rsidRPr="002A04F9" w:rsidRDefault="002A04F9" w:rsidP="002A04F9">
      <w:pPr>
        <w:pStyle w:val="ListParagraph"/>
        <w:numPr>
          <w:ilvl w:val="2"/>
          <w:numId w:val="1"/>
        </w:numPr>
        <w:rPr>
          <w:sz w:val="20"/>
          <w:szCs w:val="20"/>
        </w:rPr>
      </w:pPr>
      <w:r w:rsidRPr="002A04F9">
        <w:rPr>
          <w:rFonts w:ascii="Georgia" w:hAnsi="Georgia"/>
          <w:color w:val="333333"/>
          <w:sz w:val="20"/>
          <w:szCs w:val="20"/>
        </w:rPr>
        <w:t> </w:t>
      </w:r>
      <w:r w:rsidRPr="002A04F9">
        <w:rPr>
          <w:rFonts w:ascii="Georgia" w:hAnsi="Georgia"/>
          <w:color w:val="333333"/>
          <w:sz w:val="20"/>
          <w:szCs w:val="20"/>
        </w:rPr>
        <w:t>U</w:t>
      </w:r>
      <w:r w:rsidRPr="002A04F9">
        <w:rPr>
          <w:rFonts w:ascii="Georgia" w:hAnsi="Georgia"/>
          <w:color w:val="333333"/>
          <w:sz w:val="20"/>
          <w:szCs w:val="20"/>
        </w:rPr>
        <w:t>sed when you don’t want to penalize huge differences when both the values are huge numbers.</w:t>
      </w:r>
      <w:r>
        <w:rPr>
          <w:rFonts w:ascii="Georgia" w:hAnsi="Georgia"/>
          <w:color w:val="333333"/>
          <w:sz w:val="20"/>
          <w:szCs w:val="20"/>
        </w:rPr>
        <w:t xml:space="preserve"> It is evident from the natural log plot</w:t>
      </w:r>
      <w:r w:rsidR="009C731B">
        <w:rPr>
          <w:rFonts w:ascii="Georgia" w:hAnsi="Georgia"/>
          <w:color w:val="333333"/>
          <w:sz w:val="20"/>
          <w:szCs w:val="20"/>
        </w:rPr>
        <w:t xml:space="preserve">, as you move along x-axis the increment is very gradual and as get close to origin, </w:t>
      </w:r>
      <w:bookmarkStart w:id="0" w:name="_GoBack"/>
      <w:bookmarkEnd w:id="0"/>
      <w:r w:rsidR="007105AB">
        <w:rPr>
          <w:rFonts w:ascii="Georgia" w:hAnsi="Georgia"/>
          <w:color w:val="333333"/>
          <w:sz w:val="20"/>
          <w:szCs w:val="20"/>
        </w:rPr>
        <w:t>its</w:t>
      </w:r>
      <w:r w:rsidR="009C731B">
        <w:rPr>
          <w:rFonts w:ascii="Georgia" w:hAnsi="Georgia"/>
          <w:color w:val="333333"/>
          <w:sz w:val="20"/>
          <w:szCs w:val="20"/>
        </w:rPr>
        <w:t xml:space="preserve"> </w:t>
      </w:r>
      <w:r w:rsidR="007105AB">
        <w:rPr>
          <w:rFonts w:ascii="Georgia" w:hAnsi="Georgia"/>
          <w:color w:val="333333"/>
          <w:sz w:val="20"/>
          <w:szCs w:val="20"/>
        </w:rPr>
        <w:t>steeper</w:t>
      </w:r>
      <w:r w:rsidR="009C731B">
        <w:rPr>
          <w:rFonts w:ascii="Georgia" w:hAnsi="Georgia"/>
          <w:color w:val="333333"/>
          <w:sz w:val="20"/>
          <w:szCs w:val="20"/>
        </w:rPr>
        <w:t>.</w:t>
      </w:r>
    </w:p>
    <w:p w:rsidR="002A04F9" w:rsidRPr="002A04F9" w:rsidRDefault="002A04F9" w:rsidP="002A04F9">
      <w:pPr>
        <w:pStyle w:val="ListParagraph"/>
        <w:numPr>
          <w:ilvl w:val="3"/>
          <w:numId w:val="1"/>
        </w:numPr>
        <w:rPr>
          <w:sz w:val="20"/>
          <w:szCs w:val="20"/>
        </w:rPr>
      </w:pPr>
      <w:r>
        <w:rPr>
          <w:noProof/>
        </w:rPr>
        <w:drawing>
          <wp:inline distT="0" distB="0" distL="0" distR="0" wp14:anchorId="20010EB0" wp14:editId="5678568F">
            <wp:extent cx="1627909" cy="11319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47987" cy="1145866"/>
                    </a:xfrm>
                    <a:prstGeom prst="rect">
                      <a:avLst/>
                    </a:prstGeom>
                  </pic:spPr>
                </pic:pic>
              </a:graphicData>
            </a:graphic>
          </wp:inline>
        </w:drawing>
      </w:r>
    </w:p>
    <w:p w:rsidR="002A04F9" w:rsidRPr="002A04F9" w:rsidRDefault="002A04F9" w:rsidP="002A04F9">
      <w:pPr>
        <w:pStyle w:val="ListParagraph"/>
        <w:numPr>
          <w:ilvl w:val="2"/>
          <w:numId w:val="1"/>
        </w:numPr>
        <w:rPr>
          <w:sz w:val="20"/>
          <w:szCs w:val="20"/>
        </w:rPr>
      </w:pPr>
      <w:r>
        <w:rPr>
          <w:rFonts w:ascii="Georgia" w:hAnsi="Georgia"/>
          <w:color w:val="333333"/>
          <w:sz w:val="20"/>
          <w:szCs w:val="20"/>
        </w:rPr>
        <w:t>Under estimates are penalized more than over estimates</w:t>
      </w:r>
    </w:p>
    <w:p w:rsidR="002A04F9" w:rsidRPr="002A04F9" w:rsidRDefault="002A04F9" w:rsidP="002A04F9">
      <w:pPr>
        <w:pStyle w:val="ListParagraph"/>
        <w:numPr>
          <w:ilvl w:val="3"/>
          <w:numId w:val="1"/>
        </w:numPr>
        <w:rPr>
          <w:sz w:val="20"/>
          <w:szCs w:val="20"/>
        </w:rPr>
      </w:pPr>
      <w:r>
        <w:rPr>
          <w:rFonts w:ascii="Georgia" w:hAnsi="Georgia"/>
          <w:color w:val="333333"/>
          <w:sz w:val="20"/>
          <w:szCs w:val="20"/>
        </w:rPr>
        <w:t xml:space="preserve">Ex: </w:t>
      </w:r>
      <w:hyperlink r:id="rId6" w:history="1">
        <w:r w:rsidRPr="003C4A33">
          <w:rPr>
            <w:rStyle w:val="Hyperlink"/>
            <w:rFonts w:ascii="Georgia" w:hAnsi="Georgia"/>
            <w:sz w:val="20"/>
            <w:szCs w:val="20"/>
          </w:rPr>
          <w:t>https://www.quora.com/What-is-the-difference-between-an-RMSE-and-RMSLE-logarithmic-error-and-does-a-high-RMSE-imply-low-RMSLE</w:t>
        </w:r>
      </w:hyperlink>
    </w:p>
    <w:p w:rsidR="002A04F9" w:rsidRPr="002A04F9" w:rsidRDefault="002A04F9" w:rsidP="002A04F9">
      <w:pPr>
        <w:pStyle w:val="ListParagraph"/>
        <w:numPr>
          <w:ilvl w:val="3"/>
          <w:numId w:val="1"/>
        </w:numPr>
        <w:rPr>
          <w:sz w:val="20"/>
          <w:szCs w:val="20"/>
        </w:rPr>
      </w:pPr>
      <w:r>
        <w:rPr>
          <w:rFonts w:ascii="Georgia" w:hAnsi="Georgia"/>
          <w:color w:val="333333"/>
          <w:sz w:val="20"/>
          <w:szCs w:val="20"/>
        </w:rPr>
        <w:t>RMSE gives the same value either under or over-</w:t>
      </w:r>
      <w:r>
        <w:rPr>
          <w:sz w:val="20"/>
          <w:szCs w:val="20"/>
        </w:rPr>
        <w:t>estimate</w:t>
      </w:r>
    </w:p>
    <w:p w:rsidR="002A04F9" w:rsidRPr="002A04F9" w:rsidRDefault="002A04F9" w:rsidP="002A04F9">
      <w:pPr>
        <w:pStyle w:val="ListParagraph"/>
        <w:numPr>
          <w:ilvl w:val="2"/>
          <w:numId w:val="1"/>
        </w:numPr>
        <w:rPr>
          <w:rFonts w:ascii="Georgia" w:hAnsi="Georgia"/>
          <w:color w:val="333333"/>
          <w:sz w:val="20"/>
          <w:szCs w:val="20"/>
        </w:rPr>
      </w:pPr>
      <w:r w:rsidRPr="002A04F9">
        <w:rPr>
          <w:rFonts w:ascii="Georgia" w:hAnsi="Georgia"/>
          <w:color w:val="333333"/>
          <w:sz w:val="20"/>
          <w:szCs w:val="20"/>
        </w:rPr>
        <w:t>T</w:t>
      </w:r>
      <w:r w:rsidRPr="002A04F9">
        <w:rPr>
          <w:rFonts w:ascii="Georgia" w:hAnsi="Georgia"/>
          <w:color w:val="333333"/>
          <w:sz w:val="20"/>
          <w:szCs w:val="20"/>
        </w:rPr>
        <w:t xml:space="preserve">he mean squared error is variance plus bias squared. </w:t>
      </w:r>
      <w:r w:rsidRPr="002A04F9">
        <w:rPr>
          <w:rFonts w:ascii="Georgia" w:hAnsi="Georgia"/>
          <w:color w:val="333333"/>
          <w:sz w:val="20"/>
          <w:szCs w:val="20"/>
        </w:rPr>
        <w:t>Assuming</w:t>
      </w:r>
      <w:r w:rsidRPr="002A04F9">
        <w:rPr>
          <w:rFonts w:ascii="Georgia" w:hAnsi="Georgia"/>
          <w:color w:val="333333"/>
          <w:sz w:val="20"/>
          <w:szCs w:val="20"/>
        </w:rPr>
        <w:t xml:space="preserve"> you have zero bias (sure why not) root mean squared error is just the standard deviation.  </w:t>
      </w:r>
      <w:proofErr w:type="gramStart"/>
      <w:r w:rsidRPr="002A04F9">
        <w:rPr>
          <w:rFonts w:ascii="Georgia" w:hAnsi="Georgia"/>
          <w:color w:val="333333"/>
          <w:sz w:val="20"/>
          <w:szCs w:val="20"/>
        </w:rPr>
        <w:t>taking</w:t>
      </w:r>
      <w:proofErr w:type="gramEnd"/>
      <w:r w:rsidRPr="002A04F9">
        <w:rPr>
          <w:rFonts w:ascii="Georgia" w:hAnsi="Georgia"/>
          <w:color w:val="333333"/>
          <w:sz w:val="20"/>
          <w:szCs w:val="20"/>
        </w:rPr>
        <w:t xml:space="preserve"> the log of the predictions and the measurements </w:t>
      </w:r>
      <w:r w:rsidRPr="002A04F9">
        <w:rPr>
          <w:rFonts w:ascii="Georgia" w:hAnsi="Georgia"/>
          <w:color w:val="333333"/>
          <w:sz w:val="20"/>
          <w:szCs w:val="20"/>
        </w:rPr>
        <w:t>beforehand</w:t>
      </w:r>
      <w:r w:rsidRPr="002A04F9">
        <w:rPr>
          <w:rFonts w:ascii="Georgia" w:hAnsi="Georgia"/>
          <w:color w:val="333333"/>
          <w:sz w:val="20"/>
          <w:szCs w:val="20"/>
        </w:rPr>
        <w:t xml:space="preserve"> just changes what variance you are measuring. </w:t>
      </w:r>
      <w:r w:rsidRPr="002A04F9">
        <w:rPr>
          <w:rFonts w:ascii="Georgia" w:hAnsi="Georgia"/>
          <w:color w:val="333333"/>
          <w:sz w:val="20"/>
          <w:szCs w:val="20"/>
        </w:rPr>
        <w:t>You</w:t>
      </w:r>
      <w:r w:rsidRPr="002A04F9">
        <w:rPr>
          <w:rFonts w:ascii="Georgia" w:hAnsi="Georgia"/>
          <w:color w:val="333333"/>
          <w:sz w:val="20"/>
          <w:szCs w:val="20"/>
        </w:rPr>
        <w:t xml:space="preserve"> are now measuring the variance (or rather standard deviation) of the log of the measurements vs the log of the predictions or essentially the standard deviation in the magnitude of your prediction vs the magnitude of the measurements.</w:t>
      </w:r>
    </w:p>
    <w:sectPr w:rsidR="002A04F9" w:rsidRPr="002A04F9" w:rsidSect="002A04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84F6A"/>
    <w:multiLevelType w:val="hybridMultilevel"/>
    <w:tmpl w:val="C99E3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78D"/>
    <w:rsid w:val="002A04F9"/>
    <w:rsid w:val="003803EB"/>
    <w:rsid w:val="007105AB"/>
    <w:rsid w:val="0080178D"/>
    <w:rsid w:val="009C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91538-A56C-4F30-9866-A4AB5B220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4F9"/>
    <w:pPr>
      <w:ind w:left="720"/>
      <w:contextualSpacing/>
    </w:pPr>
  </w:style>
  <w:style w:type="character" w:customStyle="1" w:styleId="mi">
    <w:name w:val="mi"/>
    <w:basedOn w:val="DefaultParagraphFont"/>
    <w:rsid w:val="002A04F9"/>
  </w:style>
  <w:style w:type="character" w:customStyle="1" w:styleId="mo">
    <w:name w:val="mo"/>
    <w:basedOn w:val="DefaultParagraphFont"/>
    <w:rsid w:val="002A04F9"/>
  </w:style>
  <w:style w:type="character" w:customStyle="1" w:styleId="mn">
    <w:name w:val="mn"/>
    <w:basedOn w:val="DefaultParagraphFont"/>
    <w:rsid w:val="002A04F9"/>
  </w:style>
  <w:style w:type="character" w:styleId="Hyperlink">
    <w:name w:val="Hyperlink"/>
    <w:basedOn w:val="DefaultParagraphFont"/>
    <w:uiPriority w:val="99"/>
    <w:unhideWhenUsed/>
    <w:rsid w:val="002A04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at-is-the-difference-between-an-RMSE-and-RMSLE-logarithmic-error-and-does-a-high-RMSE-imply-low-RMSL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Intercontinental Exchange</Company>
  <LinksUpToDate>false</LinksUpToDate>
  <CharactersWithSpaces>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Pothamsetty</dc:creator>
  <cp:keywords/>
  <dc:description/>
  <cp:lastModifiedBy>Rajesh Pothamsetty</cp:lastModifiedBy>
  <cp:revision>3</cp:revision>
  <dcterms:created xsi:type="dcterms:W3CDTF">2018-09-28T17:25:00Z</dcterms:created>
  <dcterms:modified xsi:type="dcterms:W3CDTF">2018-09-28T17:37:00Z</dcterms:modified>
</cp:coreProperties>
</file>