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0491F6" w14:textId="5D3A31EA" w:rsidR="00BE0516" w:rsidRDefault="00735E4C" w:rsidP="00735E4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735E4C">
        <w:rPr>
          <w:sz w:val="22"/>
          <w:szCs w:val="22"/>
        </w:rPr>
        <w:t>Value – Momentum combination mitigates extreme negative returns a value investor faces.</w:t>
      </w:r>
    </w:p>
    <w:p w14:paraId="41606734" w14:textId="77777777" w:rsidR="00735E4C" w:rsidRPr="00735E4C" w:rsidRDefault="00735E4C" w:rsidP="00735E4C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rFonts w:ascii="Georgia" w:hAnsi="Georgia" w:cs="Georgia"/>
          <w:color w:val="000000"/>
          <w:sz w:val="22"/>
          <w:szCs w:val="22"/>
        </w:rPr>
        <w:t>V</w:t>
      </w:r>
      <w:r w:rsidRPr="00735E4C">
        <w:rPr>
          <w:rFonts w:ascii="Georgia" w:hAnsi="Georgia" w:cs="Georgia"/>
          <w:color w:val="000000"/>
          <w:sz w:val="22"/>
          <w:szCs w:val="22"/>
        </w:rPr>
        <w:t>alue stocks that have been long-term losers but have high 6–12 month returns will go on to outperform by an even wider margin.</w:t>
      </w:r>
    </w:p>
    <w:p w14:paraId="2A6411C1" w14:textId="77777777" w:rsidR="00735E4C" w:rsidRPr="00735E4C" w:rsidRDefault="00735E4C" w:rsidP="00735E4C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rFonts w:ascii="Georgia" w:hAnsi="Georgia" w:cs="Georgia"/>
          <w:color w:val="000000"/>
          <w:sz w:val="22"/>
          <w:szCs w:val="22"/>
        </w:rPr>
        <w:t>Momentum is mainly driven by investor behavior. Large cap stocks momentum driven by Industry sector.</w:t>
      </w:r>
    </w:p>
    <w:p w14:paraId="5C09E71D" w14:textId="77777777" w:rsidR="00735E4C" w:rsidRPr="00735E4C" w:rsidRDefault="00735E4C" w:rsidP="00735E4C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rFonts w:ascii="Georgia" w:hAnsi="Georgia" w:cs="Georgia"/>
          <w:color w:val="000000"/>
          <w:sz w:val="22"/>
          <w:szCs w:val="22"/>
        </w:rPr>
        <w:t>Momentum suffers during high volatility periods,</w:t>
      </w:r>
    </w:p>
    <w:p w14:paraId="02F420C0" w14:textId="77777777" w:rsidR="00735E4C" w:rsidRPr="00C55749" w:rsidRDefault="00735E4C" w:rsidP="00735E4C">
      <w:pPr>
        <w:ind w:left="1440"/>
        <w:rPr>
          <w:rFonts w:ascii="Georgia" w:hAnsi="Georgia" w:cs="Georgia"/>
          <w:i/>
          <w:iCs/>
          <w:color w:val="000000"/>
          <w:sz w:val="22"/>
          <w:szCs w:val="22"/>
        </w:rPr>
      </w:pPr>
      <w:r w:rsidRPr="00C55749">
        <w:rPr>
          <w:sz w:val="22"/>
          <w:szCs w:val="22"/>
        </w:rPr>
        <w:t>“</w:t>
      </w:r>
      <w:r w:rsidRPr="00C55749">
        <w:rPr>
          <w:rFonts w:ascii="Georgia" w:hAnsi="Georgia" w:cs="Georgia"/>
          <w:i/>
          <w:iCs/>
          <w:color w:val="000000"/>
          <w:sz w:val="22"/>
          <w:szCs w:val="22"/>
        </w:rPr>
        <w:t>volatility is bad for momentum, largely because volatility is associated with mean reversion and not trending</w:t>
      </w:r>
      <w:r w:rsidRPr="00C55749">
        <w:rPr>
          <w:rFonts w:ascii="Georgia" w:hAnsi="Georgia" w:cs="Georgia"/>
          <w:i/>
          <w:iCs/>
          <w:color w:val="000000"/>
          <w:sz w:val="22"/>
          <w:szCs w:val="22"/>
        </w:rPr>
        <w:t>”</w:t>
      </w:r>
    </w:p>
    <w:p w14:paraId="6A9917BA" w14:textId="77777777" w:rsidR="00B567CF" w:rsidRDefault="00B567CF" w:rsidP="00735E4C">
      <w:pPr>
        <w:ind w:left="1440"/>
        <w:rPr>
          <w:rFonts w:ascii="Georgia" w:hAnsi="Georgia" w:cs="Georgia"/>
          <w:i/>
          <w:iCs/>
          <w:color w:val="000000"/>
          <w:sz w:val="38"/>
          <w:szCs w:val="38"/>
        </w:rPr>
      </w:pPr>
    </w:p>
    <w:p w14:paraId="0E301A56" w14:textId="77777777" w:rsidR="00B567CF" w:rsidRPr="00B567CF" w:rsidRDefault="00B567CF" w:rsidP="00C55749">
      <w:pPr>
        <w:outlineLvl w:val="0"/>
        <w:rPr>
          <w:b/>
          <w:sz w:val="22"/>
          <w:szCs w:val="22"/>
        </w:rPr>
      </w:pPr>
      <w:r w:rsidRPr="00B567CF">
        <w:rPr>
          <w:b/>
          <w:sz w:val="22"/>
          <w:szCs w:val="22"/>
        </w:rPr>
        <w:t>The main results are as follows:</w:t>
      </w:r>
    </w:p>
    <w:p w14:paraId="666EFE9A" w14:textId="77777777" w:rsidR="00B567CF" w:rsidRPr="00B567CF" w:rsidRDefault="00B567CF" w:rsidP="00B567CF">
      <w:pPr>
        <w:ind w:left="360"/>
        <w:rPr>
          <w:sz w:val="22"/>
          <w:szCs w:val="22"/>
        </w:rPr>
      </w:pPr>
    </w:p>
    <w:p w14:paraId="4B2A3DF9" w14:textId="77777777" w:rsidR="00B567CF" w:rsidRPr="00B567CF" w:rsidRDefault="00B567CF" w:rsidP="00B567C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B567CF">
        <w:rPr>
          <w:sz w:val="22"/>
          <w:szCs w:val="22"/>
        </w:rPr>
        <w:t>Using individual stock momentum has worked over the past 87 years. This is commonly labeled cross-sectional momentum.</w:t>
      </w:r>
    </w:p>
    <w:p w14:paraId="2E98661B" w14:textId="77777777" w:rsidR="00B567CF" w:rsidRPr="00B567CF" w:rsidRDefault="00B567CF" w:rsidP="00B567C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B567CF">
        <w:rPr>
          <w:sz w:val="22"/>
          <w:szCs w:val="22"/>
        </w:rPr>
        <w:t>Using a simple trend following rule appears to limit drawdowns over the past 87 years. This is commonly called time-series momentum.</w:t>
      </w:r>
    </w:p>
    <w:p w14:paraId="2791DBD2" w14:textId="77777777" w:rsidR="00735E4C" w:rsidRDefault="00B567CF" w:rsidP="00B567CF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B567CF">
        <w:rPr>
          <w:sz w:val="22"/>
          <w:szCs w:val="22"/>
        </w:rPr>
        <w:t xml:space="preserve">Combining cross-sectional momentum and time-series momentum has worked better than using either of the stand-alone elements. - Read more at: </w:t>
      </w:r>
      <w:hyperlink r:id="rId5" w:history="1">
        <w:r w:rsidR="00B370D9" w:rsidRPr="008810A3">
          <w:rPr>
            <w:rStyle w:val="Hyperlink"/>
            <w:sz w:val="22"/>
            <w:szCs w:val="22"/>
          </w:rPr>
          <w:t>http://scl.io/kxOE76Mk#gs.n772gX0</w:t>
        </w:r>
      </w:hyperlink>
    </w:p>
    <w:p w14:paraId="21AAE21B" w14:textId="77777777" w:rsidR="00B370D9" w:rsidRDefault="00B370D9" w:rsidP="00B370D9">
      <w:pPr>
        <w:rPr>
          <w:sz w:val="22"/>
          <w:szCs w:val="22"/>
        </w:rPr>
      </w:pPr>
    </w:p>
    <w:p w14:paraId="33B0DEFB" w14:textId="77777777" w:rsidR="00B370D9" w:rsidRPr="00C55749" w:rsidRDefault="00B370D9" w:rsidP="00B370D9">
      <w:pPr>
        <w:pStyle w:val="ListParagraph"/>
        <w:numPr>
          <w:ilvl w:val="0"/>
          <w:numId w:val="3"/>
        </w:numPr>
        <w:rPr>
          <w:b/>
          <w:sz w:val="22"/>
          <w:szCs w:val="22"/>
        </w:rPr>
      </w:pPr>
      <w:r w:rsidRPr="00C55749">
        <w:rPr>
          <w:b/>
          <w:sz w:val="22"/>
          <w:szCs w:val="22"/>
        </w:rPr>
        <w:t>Should we consider size filter?</w:t>
      </w:r>
    </w:p>
    <w:p w14:paraId="23670D5D" w14:textId="77777777" w:rsidR="00B370D9" w:rsidRPr="00C55749" w:rsidRDefault="00B370D9" w:rsidP="00C55749">
      <w:pPr>
        <w:rPr>
          <w:b/>
          <w:sz w:val="22"/>
          <w:szCs w:val="22"/>
        </w:rPr>
      </w:pPr>
    </w:p>
    <w:p w14:paraId="43787BE1" w14:textId="77777777" w:rsidR="00C55749" w:rsidRDefault="00C55749" w:rsidP="00C55749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Alternative to 60-40, using Fixed Income ETFs in the momentum portfolio itself.</w:t>
      </w:r>
    </w:p>
    <w:p w14:paraId="00355171" w14:textId="77777777" w:rsidR="00C55749" w:rsidRPr="00C55749" w:rsidRDefault="00C55749" w:rsidP="00C55749">
      <w:pPr>
        <w:rPr>
          <w:sz w:val="22"/>
          <w:szCs w:val="22"/>
        </w:rPr>
      </w:pPr>
    </w:p>
    <w:p w14:paraId="18820258" w14:textId="77777777" w:rsidR="00C55749" w:rsidRDefault="00C55749" w:rsidP="00C55749">
      <w:pPr>
        <w:pStyle w:val="ListParagraph"/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See Optimal Momentum – Antonacci </w:t>
      </w:r>
    </w:p>
    <w:p w14:paraId="4EA0967A" w14:textId="77777777" w:rsidR="00C55749" w:rsidRPr="00C55749" w:rsidRDefault="00C55749" w:rsidP="00C55749">
      <w:pPr>
        <w:rPr>
          <w:sz w:val="22"/>
          <w:szCs w:val="22"/>
        </w:rPr>
      </w:pPr>
    </w:p>
    <w:p w14:paraId="01B9AA7C" w14:textId="77777777" w:rsidR="00C55749" w:rsidRDefault="00C55749" w:rsidP="00C55749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C55749">
        <w:rPr>
          <w:sz w:val="22"/>
          <w:szCs w:val="22"/>
        </w:rPr>
        <w:drawing>
          <wp:inline distT="0" distB="0" distL="0" distR="0" wp14:anchorId="12805CA1" wp14:editId="616E4761">
            <wp:extent cx="5194935" cy="19936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8534" cy="19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0CC5" w14:textId="77777777" w:rsidR="00C55749" w:rsidRDefault="00C55749" w:rsidP="00C55749">
      <w:pPr>
        <w:rPr>
          <w:sz w:val="22"/>
          <w:szCs w:val="22"/>
        </w:rPr>
      </w:pPr>
    </w:p>
    <w:p w14:paraId="5DCCC479" w14:textId="77777777" w:rsidR="00C55749" w:rsidRDefault="00C55749" w:rsidP="00C55749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we will use short term and intermediate fixed income securities.</w:t>
      </w:r>
    </w:p>
    <w:p w14:paraId="139A3DD0" w14:textId="77777777" w:rsidR="00C55749" w:rsidRDefault="00C55749" w:rsidP="00C55749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Increases returns and decreases volatility.</w:t>
      </w:r>
    </w:p>
    <w:p w14:paraId="1F41FE99" w14:textId="77777777" w:rsidR="00C55749" w:rsidRDefault="00C55749" w:rsidP="00C55749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We could also use other commodities (less correlation with equities and bonds).</w:t>
      </w:r>
    </w:p>
    <w:p w14:paraId="41D1099A" w14:textId="77777777" w:rsidR="00C55749" w:rsidRDefault="00C55749" w:rsidP="00C55749">
      <w:pPr>
        <w:rPr>
          <w:sz w:val="22"/>
          <w:szCs w:val="22"/>
        </w:rPr>
      </w:pPr>
    </w:p>
    <w:p w14:paraId="0B6A2081" w14:textId="77777777" w:rsidR="00F0513F" w:rsidRDefault="00F0513F" w:rsidP="00C55749">
      <w:pPr>
        <w:rPr>
          <w:sz w:val="22"/>
          <w:szCs w:val="22"/>
        </w:rPr>
      </w:pPr>
    </w:p>
    <w:p w14:paraId="016DBA40" w14:textId="77777777" w:rsidR="00F0513F" w:rsidRDefault="00F0513F" w:rsidP="00C55749">
      <w:pPr>
        <w:rPr>
          <w:b/>
          <w:sz w:val="22"/>
          <w:szCs w:val="22"/>
        </w:rPr>
      </w:pPr>
      <w:r w:rsidRPr="00F0513F">
        <w:rPr>
          <w:b/>
          <w:sz w:val="22"/>
          <w:szCs w:val="22"/>
        </w:rPr>
        <w:t>Dual Momentum</w:t>
      </w:r>
      <w:r>
        <w:rPr>
          <w:b/>
          <w:sz w:val="22"/>
          <w:szCs w:val="22"/>
        </w:rPr>
        <w:t>:</w:t>
      </w:r>
    </w:p>
    <w:p w14:paraId="698EE45E" w14:textId="77777777" w:rsidR="00F0513F" w:rsidRDefault="00F0513F" w:rsidP="00C55749">
      <w:pPr>
        <w:rPr>
          <w:b/>
          <w:sz w:val="22"/>
          <w:szCs w:val="22"/>
        </w:rPr>
      </w:pPr>
    </w:p>
    <w:p w14:paraId="29DBD00E" w14:textId="77777777" w:rsidR="00F0513F" w:rsidRDefault="00F0513F" w:rsidP="00F0513F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  <w:r w:rsidRPr="00F0513F"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  <w:t>Academic research has shown that momentum applied to asset classes, market indexes, and sectors is just as strong as momentum applied to individual stocks.</w:t>
      </w:r>
    </w:p>
    <w:p w14:paraId="70C96939" w14:textId="77777777" w:rsidR="00F0513F" w:rsidRDefault="00F0513F" w:rsidP="00F0513F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  <w:t>Relative momentum doesn’t have good risk charactersitcs.</w:t>
      </w:r>
    </w:p>
    <w:p w14:paraId="79D69C20" w14:textId="77777777" w:rsidR="00F0513F" w:rsidRPr="00F0513F" w:rsidRDefault="00F0513F" w:rsidP="00F0513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F0513F">
        <w:rPr>
          <w:rFonts w:ascii="Helvetica" w:eastAsia="Times New Roman" w:hAnsi="Helvetica" w:cs="Times New Roman"/>
          <w:color w:val="404040"/>
          <w:shd w:val="clear" w:color="auto" w:fill="FFFFFF"/>
        </w:rPr>
        <w:lastRenderedPageBreak/>
        <w:t>Dual momentum is the preferred momentum strategy for large cap U.S. and non-U.S. equity indexes</w:t>
      </w:r>
    </w:p>
    <w:p w14:paraId="39307189" w14:textId="0BC06D90" w:rsidR="00F0513F" w:rsidRPr="00691F61" w:rsidRDefault="00691F61" w:rsidP="00C55749">
      <w:pPr>
        <w:pStyle w:val="ListParagraph"/>
        <w:numPr>
          <w:ilvl w:val="0"/>
          <w:numId w:val="5"/>
        </w:numP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  <w:hyperlink r:id="rId7" w:history="1">
        <w:r w:rsidRPr="008810A3">
          <w:rPr>
            <w:rStyle w:val="Hyperlink"/>
            <w:b/>
            <w:sz w:val="22"/>
            <w:szCs w:val="22"/>
          </w:rPr>
          <w:t>http://www.quantsportal.com/momentum-on-dual-momentum-portfolios/</w:t>
        </w:r>
      </w:hyperlink>
    </w:p>
    <w:p w14:paraId="74A9E734" w14:textId="77777777" w:rsidR="00691F61" w:rsidRDefault="00691F61" w:rsidP="00691F61">
      <w:pP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</w:p>
    <w:p w14:paraId="69B4EAA9" w14:textId="77777777" w:rsidR="00691F61" w:rsidRDefault="00691F61" w:rsidP="00691F61">
      <w:pP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</w:p>
    <w:p w14:paraId="5C9B548C" w14:textId="77777777" w:rsidR="00691F61" w:rsidRDefault="00691F61" w:rsidP="00691F61">
      <w:pP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</w:p>
    <w:p w14:paraId="4E076210" w14:textId="0B040CC1" w:rsidR="00691F61" w:rsidRDefault="00691F61" w:rsidP="00691F61">
      <w:pP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  <w:t>Questions: relative across etfs?</w:t>
      </w:r>
    </w:p>
    <w:p w14:paraId="0C49EC89" w14:textId="3011207B" w:rsidR="00691F61" w:rsidRDefault="00691F61" w:rsidP="0032333A">
      <w:pPr>
        <w:ind w:left="720"/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  <w:t>Or among individual stocks?</w:t>
      </w:r>
    </w:p>
    <w:p w14:paraId="6DED4970" w14:textId="77777777" w:rsidR="0032333A" w:rsidRDefault="0032333A" w:rsidP="0032333A">
      <w:pPr>
        <w:ind w:left="720"/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</w:p>
    <w:p w14:paraId="43273683" w14:textId="77777777" w:rsidR="0032333A" w:rsidRDefault="0032333A" w:rsidP="0032333A">
      <w:pPr>
        <w:ind w:left="720"/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</w:p>
    <w:p w14:paraId="52631DEC" w14:textId="3F7FDAE0" w:rsidR="0032333A" w:rsidRPr="00691F61" w:rsidRDefault="0032333A" w:rsidP="0032333A">
      <w:pPr>
        <w:ind w:left="720"/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</w:pPr>
      <w:r>
        <w:rPr>
          <w:rFonts w:ascii="Helvetica" w:eastAsia="Times New Roman" w:hAnsi="Helvetica" w:cs="Times New Roman"/>
          <w:color w:val="404040"/>
          <w:sz w:val="22"/>
          <w:szCs w:val="22"/>
          <w:shd w:val="clear" w:color="auto" w:fill="FFFFFF"/>
        </w:rPr>
        <w:t>Data: Fixed Income ETFs, Individual securities(maybe)</w:t>
      </w:r>
      <w:bookmarkStart w:id="0" w:name="_GoBack"/>
      <w:bookmarkEnd w:id="0"/>
    </w:p>
    <w:sectPr w:rsidR="0032333A" w:rsidRPr="00691F61" w:rsidSect="00367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A317F"/>
    <w:multiLevelType w:val="hybridMultilevel"/>
    <w:tmpl w:val="43625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DB60D5"/>
    <w:multiLevelType w:val="hybridMultilevel"/>
    <w:tmpl w:val="4538E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97617F"/>
    <w:multiLevelType w:val="hybridMultilevel"/>
    <w:tmpl w:val="1A52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2C5399"/>
    <w:multiLevelType w:val="hybridMultilevel"/>
    <w:tmpl w:val="74AE9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432477"/>
    <w:multiLevelType w:val="hybridMultilevel"/>
    <w:tmpl w:val="326A8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E4C"/>
    <w:rsid w:val="000F6E83"/>
    <w:rsid w:val="001D16C1"/>
    <w:rsid w:val="0032333A"/>
    <w:rsid w:val="00367036"/>
    <w:rsid w:val="004024C9"/>
    <w:rsid w:val="00691F61"/>
    <w:rsid w:val="00735E4C"/>
    <w:rsid w:val="00B370D9"/>
    <w:rsid w:val="00B567CF"/>
    <w:rsid w:val="00C55749"/>
    <w:rsid w:val="00CF1F8F"/>
    <w:rsid w:val="00F0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D159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E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70D9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C55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0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scl.io/kxOE76Mk#gs.n772gX0" TargetMode="External"/><Relationship Id="rId6" Type="http://schemas.openxmlformats.org/officeDocument/2006/relationships/image" Target="media/image1.tiff"/><Relationship Id="rId7" Type="http://schemas.openxmlformats.org/officeDocument/2006/relationships/hyperlink" Target="http://www.quantsportal.com/momentum-on-dual-momentum-portfolios/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287</Words>
  <Characters>1639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The main results are as follows:</vt:lpstr>
    </vt:vector>
  </TitlesOfParts>
  <LinksUpToDate>false</LinksUpToDate>
  <CharactersWithSpaces>1923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Pothamsetty, Rajesh</dc:creator>
  <cp:keywords/>
  <dc:description/>
  <cp:lastModifiedBy>Pothamsetty, Rajesh</cp:lastModifiedBy>
  <cp:revision>3</cp:revision>
  <dcterms:created xsi:type="dcterms:W3CDTF">2016-09-29T19:44:00Z</dcterms:created>
  <dcterms:modified xsi:type="dcterms:W3CDTF">2016-09-29T21:01:00Z</dcterms:modified>
</cp:coreProperties>
</file>