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06E" w:rsidRDefault="00582846">
      <w:pPr>
        <w:rPr>
          <w:b/>
        </w:rPr>
      </w:pPr>
      <w:r>
        <w:rPr>
          <w:b/>
        </w:rPr>
        <w:t>MFE 237H Quantitative Asset Management</w:t>
      </w:r>
    </w:p>
    <w:p w:rsidR="0082306E" w:rsidRDefault="00582846">
      <w:pPr>
        <w:rPr>
          <w:b/>
        </w:rPr>
      </w:pPr>
      <w:r>
        <w:rPr>
          <w:b/>
        </w:rPr>
        <w:t>2016 Take Home Midterm</w:t>
      </w:r>
    </w:p>
    <w:p w:rsidR="0082306E" w:rsidRDefault="00582846">
      <w:pPr>
        <w:rPr>
          <w:b/>
        </w:rPr>
      </w:pPr>
      <w:r>
        <w:rPr>
          <w:b/>
        </w:rPr>
        <w:t>Koushik Boddireddy</w:t>
      </w:r>
    </w:p>
    <w:p w:rsidR="0082306E" w:rsidRDefault="0082306E"/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If a manager has a true alpha of 2% and runs a tracking error of 5%, how many years would it take, on average, to convince investors that his alpha is at least 1%? Please carefully show all steps and reasons.</w:t>
      </w:r>
    </w:p>
    <w:p w:rsidR="000647C4" w:rsidRPr="00542214" w:rsidRDefault="000647C4" w:rsidP="00542214">
      <w:pPr>
        <w:ind w:left="709"/>
        <w:jc w:val="both"/>
      </w:pPr>
      <w:r>
        <w:t>Answer:</w:t>
      </w:r>
    </w:p>
    <w:p w:rsidR="00582846" w:rsidRDefault="000647C4" w:rsidP="00582846">
      <w:pPr>
        <w:ind w:left="709"/>
        <w:jc w:val="both"/>
      </w:pPr>
      <w:r>
        <w:t>To convince the investors that we have an alpha of at least 1% we have to statistically test that our alpha generated is statistically greater than 1%, this can be done using a one tailed t test.</w:t>
      </w:r>
    </w:p>
    <w:p w:rsidR="000647C4" w:rsidRDefault="000647C4" w:rsidP="00582846">
      <w:pPr>
        <w:ind w:left="709"/>
        <w:jc w:val="both"/>
      </w:pPr>
    </w:p>
    <w:p w:rsidR="00B24ACE" w:rsidRDefault="00B24ACE" w:rsidP="00B24ACE">
      <w:pPr>
        <w:ind w:left="709"/>
        <w:jc w:val="both"/>
      </w:pPr>
      <w:r>
        <w:t>Now, the t test is:</w:t>
      </w:r>
    </w:p>
    <w:p w:rsidR="00B24ACE" w:rsidRDefault="00B24ACE" w:rsidP="00B24ACE">
      <w:pPr>
        <w:ind w:left="709"/>
        <w:jc w:val="both"/>
      </w:pPr>
    </w:p>
    <w:p w:rsidR="000647C4" w:rsidRPr="00B24ACE" w:rsidRDefault="00B24ACE" w:rsidP="00B24ACE">
      <w:pPr>
        <w:ind w:left="709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 xml:space="preserve">&lt; </m:t>
          </m:r>
          <m:r>
            <w:rPr>
              <w:rFonts w:ascii="Cambria Math" w:hAnsi="Cambria Math"/>
            </w:rPr>
            <m:t>α</m:t>
          </m:r>
        </m:oMath>
      </m:oMathPara>
    </w:p>
    <w:p w:rsidR="00B24ACE" w:rsidRPr="00B24ACE" w:rsidRDefault="00B24ACE" w:rsidP="00B24ACE">
      <w:pPr>
        <w:ind w:left="709"/>
        <w:jc w:val="center"/>
      </w:pPr>
    </w:p>
    <w:p w:rsidR="00B24ACE" w:rsidRPr="00B24ACE" w:rsidRDefault="00B24ACE" w:rsidP="00B24ACE">
      <w:pPr>
        <w:ind w:left="709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>=2%,   α=1</m:t>
          </m:r>
          <m:r>
            <w:rPr>
              <w:rFonts w:ascii="Cambria Math" w:hAnsi="Cambria Math"/>
            </w:rPr>
            <m:t>%</m:t>
          </m:r>
        </m:oMath>
      </m:oMathPara>
    </w:p>
    <w:p w:rsidR="00B24ACE" w:rsidRPr="00B24ACE" w:rsidRDefault="00B24ACE" w:rsidP="00B24ACE">
      <w:pPr>
        <w:ind w:left="709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sub>
          </m:sSub>
          <m:r>
            <w:rPr>
              <w:rFonts w:ascii="Cambria Math" w:hAnsi="Cambria Math"/>
            </w:rPr>
            <m:t>= 5%</m:t>
          </m:r>
        </m:oMath>
      </m:oMathPara>
    </w:p>
    <w:p w:rsidR="00B24ACE" w:rsidRPr="00644661" w:rsidRDefault="00B24ACE" w:rsidP="00B24ACE">
      <w:pPr>
        <w:ind w:left="709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r>
                <w:rPr>
                  <w:rFonts w:ascii="Cambria Math" w:hAnsi="Cambria Math"/>
                </w:rPr>
                <m:t>-α)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sub>
              </m:sSub>
            </m:den>
          </m:f>
        </m:oMath>
      </m:oMathPara>
    </w:p>
    <w:p w:rsidR="00644661" w:rsidRPr="000647C4" w:rsidRDefault="00644661" w:rsidP="00B24ACE">
      <w:pPr>
        <w:ind w:left="709"/>
        <w:rPr>
          <w:i/>
        </w:rPr>
      </w:pPr>
    </w:p>
    <w:p w:rsidR="00B24ACE" w:rsidRDefault="00B24ACE" w:rsidP="00B24ACE">
      <w:pPr>
        <w:ind w:left="709"/>
      </w:pPr>
      <w:r>
        <w:t>We fail to reject the Nu</w:t>
      </w:r>
      <w:r w:rsidR="00644661">
        <w:t>ll if the t stat is greater that the critical value at a given significance level. Now at a significance level of 5%</w:t>
      </w:r>
      <w:r w:rsidR="008A6CF7">
        <w:t xml:space="preserve"> </w:t>
      </w:r>
    </w:p>
    <w:p w:rsidR="00644661" w:rsidRPr="00644661" w:rsidRDefault="00644661" w:rsidP="00B24ACE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*5</m:t>
              </m:r>
            </m:den>
          </m:f>
        </m:oMath>
      </m:oMathPara>
    </w:p>
    <w:p w:rsidR="00644661" w:rsidRDefault="00644661" w:rsidP="00B24ACE">
      <w:pPr>
        <w:ind w:left="709"/>
      </w:pPr>
    </w:p>
    <w:p w:rsidR="00644661" w:rsidRPr="00B24ACE" w:rsidRDefault="00644661" w:rsidP="00B24ACE">
      <w:pPr>
        <w:ind w:left="709"/>
      </w:pPr>
      <w:r>
        <w:t>This should be greater than the critical value</w:t>
      </w:r>
    </w:p>
    <w:p w:rsidR="00644661" w:rsidRPr="00644661" w:rsidRDefault="00644661" w:rsidP="00644661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*5</m:t>
              </m:r>
            </m:den>
          </m:f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</m:oMath>
      </m:oMathPara>
    </w:p>
    <w:p w:rsidR="0082306E" w:rsidRDefault="00644661">
      <w:pPr>
        <w:pStyle w:val="ListParagraph"/>
        <w:jc w:val="both"/>
      </w:pPr>
      <w:r>
        <w:t xml:space="preserve">Therefore </w:t>
      </w:r>
    </w:p>
    <w:p w:rsidR="00644661" w:rsidRPr="008A6CF7" w:rsidRDefault="00644661">
      <w:pPr>
        <w:pStyle w:val="ListParagraph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1.645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A6CF7" w:rsidRDefault="008A6CF7">
      <w:pPr>
        <w:pStyle w:val="ListParagraph"/>
        <w:jc w:val="both"/>
      </w:pPr>
      <w:r>
        <w:t xml:space="preserve">Hence n = 67.6, </w:t>
      </w:r>
      <w:proofErr w:type="spellStart"/>
      <w:r>
        <w:t>i.e</w:t>
      </w:r>
      <w:proofErr w:type="spellEnd"/>
      <w:r>
        <w:t>, he has to perform this way for 67.6 years to convince the investors.</w:t>
      </w:r>
    </w:p>
    <w:p w:rsidR="008A6CF7" w:rsidRDefault="008A6CF7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If a manager has a –1% </w:t>
      </w:r>
      <w:proofErr w:type="spellStart"/>
      <w:r>
        <w:t>Fama</w:t>
      </w:r>
      <w:proofErr w:type="spellEnd"/>
      <w:r>
        <w:t>-French alpha, would you expect the manager to underperform or outperform the S&amp;P500 on average over time? Please explain carefully.</w:t>
      </w:r>
    </w:p>
    <w:p w:rsidR="00582846" w:rsidRDefault="008A6CF7" w:rsidP="00582846">
      <w:pPr>
        <w:pStyle w:val="ListParagraph"/>
        <w:jc w:val="both"/>
      </w:pPr>
      <w:r>
        <w:t>Answer:</w:t>
      </w:r>
    </w:p>
    <w:p w:rsidR="00644661" w:rsidRDefault="00644661" w:rsidP="00582846">
      <w:pPr>
        <w:pStyle w:val="ListParagraph"/>
        <w:jc w:val="both"/>
      </w:pPr>
      <w:r>
        <w:t xml:space="preserve">The </w:t>
      </w:r>
      <w:proofErr w:type="spellStart"/>
      <w:r>
        <w:t>Fama</w:t>
      </w:r>
      <w:proofErr w:type="spellEnd"/>
      <w:r>
        <w:t>-French equation is:</w:t>
      </w:r>
    </w:p>
    <w:p w:rsidR="00644661" w:rsidRPr="008A6CF7" w:rsidRDefault="00644661" w:rsidP="00582846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HML</m:t>
              </m:r>
            </m:e>
          </m:d>
          <m:r>
            <w:rPr>
              <w:rFonts w:ascii="Cambria Math" w:hAnsi="Cambria Math"/>
            </w:rPr>
            <m:t>+α</m:t>
          </m:r>
        </m:oMath>
      </m:oMathPara>
    </w:p>
    <w:p w:rsidR="008A6CF7" w:rsidRPr="00644661" w:rsidRDefault="008A6CF7" w:rsidP="00582846">
      <w:pPr>
        <w:pStyle w:val="ListParagraph"/>
        <w:jc w:val="both"/>
      </w:pPr>
    </w:p>
    <w:p w:rsidR="00644661" w:rsidRDefault="008A6CF7" w:rsidP="00582846">
      <w:pPr>
        <w:pStyle w:val="ListParagraph"/>
        <w:jc w:val="both"/>
      </w:pPr>
      <w:r>
        <w:t xml:space="preserve">It gives us the relation between the returns of the </w:t>
      </w:r>
      <w:proofErr w:type="spellStart"/>
      <w:r>
        <w:t>Fama</w:t>
      </w:r>
      <w:proofErr w:type="spellEnd"/>
      <w:r>
        <w:t xml:space="preserve">- French portfolio, the excess returns are given by </w:t>
      </w:r>
    </w:p>
    <w:p w:rsidR="00582846" w:rsidRDefault="008A6CF7" w:rsidP="00582846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HML</m:t>
              </m:r>
            </m:e>
          </m:d>
          <m:r>
            <w:rPr>
              <w:rFonts w:ascii="Cambria Math" w:hAnsi="Cambria Math"/>
            </w:rPr>
            <m:t>+α</m:t>
          </m:r>
        </m:oMath>
      </m:oMathPara>
    </w:p>
    <w:p w:rsidR="0082306E" w:rsidRDefault="0082306E">
      <w:pPr>
        <w:pStyle w:val="ListParagraph"/>
      </w:pPr>
    </w:p>
    <w:p w:rsidR="008A6CF7" w:rsidRDefault="008A6CF7">
      <w:pPr>
        <w:pStyle w:val="ListParagraph"/>
      </w:pPr>
      <w:r>
        <w:t xml:space="preserve">Now if </w:t>
      </w:r>
      <m:oMath>
        <m:r>
          <w:rPr>
            <w:rFonts w:ascii="Cambria Math" w:hAnsi="Cambria Math"/>
          </w:rPr>
          <m:t>α</m:t>
        </m:r>
      </m:oMath>
      <w:r>
        <w:t xml:space="preserve"> is negative</w:t>
      </w:r>
      <w:r w:rsidR="00EE6AAC">
        <w:t xml:space="preserve"> (</w:t>
      </w:r>
      <m:oMath>
        <m:r>
          <w:rPr>
            <w:rFonts w:ascii="Cambria Math" w:hAnsi="Cambria Math"/>
          </w:rPr>
          <m:t>-1</m:t>
        </m:r>
      </m:oMath>
      <w:r w:rsidR="00EE6AAC">
        <w:t xml:space="preserve"> in this case)</w:t>
      </w:r>
      <w:r>
        <w:t xml:space="preserve"> we cannot tell for sure if the manager has </w:t>
      </w:r>
      <w:r>
        <w:lastRenderedPageBreak/>
        <w:t xml:space="preserve">underperformed or outperformed the S&amp;P500, we have to know the other factors as well to come to a conclusion, even with -1% true </w:t>
      </w:r>
      <m:oMath>
        <m:r>
          <w:rPr>
            <w:rFonts w:ascii="Cambria Math" w:hAnsi="Cambria Math"/>
          </w:rPr>
          <m:t>α</m:t>
        </m:r>
      </m:oMath>
      <w:r>
        <w:t xml:space="preserve"> he might outperform the S&amp;P500</w:t>
      </w:r>
    </w:p>
    <w:p w:rsidR="008A6CF7" w:rsidRDefault="008A6CF7">
      <w:pPr>
        <w:pStyle w:val="ListParagrap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What are the Sharpe Ratios of the S&amp;P500, the </w:t>
      </w:r>
      <w:proofErr w:type="spellStart"/>
      <w:r>
        <w:t>Fama</w:t>
      </w:r>
      <w:proofErr w:type="spellEnd"/>
      <w:r>
        <w:t xml:space="preserve">-French value, size and momentum factor portfolio? </w:t>
      </w: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jc w:val="both"/>
      </w:pPr>
      <w:r>
        <w:t>Why do people say that the very high Sharpe Ratios for value and momentum mean that they cannot be entirely risk-based in nature?</w:t>
      </w:r>
    </w:p>
    <w:p w:rsidR="00582846" w:rsidRDefault="00582846">
      <w:pPr>
        <w:pStyle w:val="ListParagraph"/>
        <w:jc w:val="both"/>
      </w:pPr>
    </w:p>
    <w:p w:rsidR="00F37977" w:rsidRDefault="00F37977">
      <w:pPr>
        <w:pStyle w:val="ListParagraph"/>
        <w:jc w:val="both"/>
      </w:pPr>
      <w:r>
        <w:t>Sharpe Ratios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9"/>
        <w:gridCol w:w="2292"/>
        <w:gridCol w:w="2275"/>
        <w:gridCol w:w="2356"/>
      </w:tblGrid>
      <w:tr w:rsidR="00F37977" w:rsidTr="00F37977">
        <w:tc>
          <w:tcPr>
            <w:tcW w:w="2490" w:type="dxa"/>
          </w:tcPr>
          <w:p w:rsidR="00F37977" w:rsidRDefault="00F37977">
            <w:pPr>
              <w:pStyle w:val="ListParagraph"/>
              <w:ind w:left="0"/>
              <w:jc w:val="both"/>
            </w:pPr>
            <w:r>
              <w:t>S&amp;P500</w:t>
            </w:r>
          </w:p>
        </w:tc>
        <w:tc>
          <w:tcPr>
            <w:tcW w:w="2490" w:type="dxa"/>
          </w:tcPr>
          <w:p w:rsidR="00F37977" w:rsidRDefault="00F37977">
            <w:pPr>
              <w:pStyle w:val="ListParagraph"/>
              <w:ind w:left="0"/>
              <w:jc w:val="both"/>
            </w:pPr>
            <w:r>
              <w:t>FF Value</w:t>
            </w:r>
          </w:p>
        </w:tc>
        <w:tc>
          <w:tcPr>
            <w:tcW w:w="2491" w:type="dxa"/>
          </w:tcPr>
          <w:p w:rsidR="00F37977" w:rsidRDefault="00F37977">
            <w:pPr>
              <w:pStyle w:val="ListParagraph"/>
              <w:ind w:left="0"/>
              <w:jc w:val="both"/>
            </w:pPr>
            <w:r>
              <w:t>FF Size</w:t>
            </w:r>
          </w:p>
        </w:tc>
        <w:tc>
          <w:tcPr>
            <w:tcW w:w="2491" w:type="dxa"/>
          </w:tcPr>
          <w:p w:rsidR="00F37977" w:rsidRDefault="00F37977">
            <w:pPr>
              <w:pStyle w:val="ListParagraph"/>
              <w:ind w:left="0"/>
              <w:jc w:val="both"/>
            </w:pPr>
            <w:r>
              <w:t>FF Momentum</w:t>
            </w:r>
          </w:p>
        </w:tc>
      </w:tr>
      <w:tr w:rsidR="00F37977" w:rsidTr="00F37977">
        <w:tc>
          <w:tcPr>
            <w:tcW w:w="2490" w:type="dxa"/>
          </w:tcPr>
          <w:p w:rsidR="00F37977" w:rsidRDefault="00F37977">
            <w:pPr>
              <w:pStyle w:val="ListParagraph"/>
              <w:ind w:left="0"/>
              <w:jc w:val="both"/>
            </w:pPr>
            <w:r>
              <w:t>0.31</w:t>
            </w:r>
          </w:p>
        </w:tc>
        <w:tc>
          <w:tcPr>
            <w:tcW w:w="2490" w:type="dxa"/>
          </w:tcPr>
          <w:p w:rsidR="00F37977" w:rsidRDefault="00B63475">
            <w:pPr>
              <w:pStyle w:val="ListParagraph"/>
              <w:ind w:left="0"/>
              <w:jc w:val="both"/>
            </w:pPr>
            <w:r>
              <w:t>-0.12</w:t>
            </w:r>
          </w:p>
        </w:tc>
        <w:tc>
          <w:tcPr>
            <w:tcW w:w="2491" w:type="dxa"/>
          </w:tcPr>
          <w:p w:rsidR="00F37977" w:rsidRDefault="00B63475">
            <w:pPr>
              <w:pStyle w:val="ListParagraph"/>
              <w:ind w:left="0"/>
              <w:jc w:val="both"/>
            </w:pPr>
            <w:r>
              <w:t>0.04</w:t>
            </w:r>
          </w:p>
        </w:tc>
        <w:tc>
          <w:tcPr>
            <w:tcW w:w="2491" w:type="dxa"/>
          </w:tcPr>
          <w:p w:rsidR="00F37977" w:rsidRDefault="00B63475">
            <w:pPr>
              <w:pStyle w:val="ListParagraph"/>
              <w:ind w:left="0"/>
              <w:jc w:val="both"/>
            </w:pPr>
            <w:r>
              <w:t>0.2</w:t>
            </w:r>
          </w:p>
        </w:tc>
      </w:tr>
    </w:tbl>
    <w:p w:rsidR="0082306E" w:rsidRDefault="0082306E" w:rsidP="00F421AF">
      <w:pPr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Why might the momentum strategy be risky and require a high premium? </w:t>
      </w:r>
    </w:p>
    <w:p w:rsidR="00582846" w:rsidRDefault="00F37977" w:rsidP="00582846">
      <w:pPr>
        <w:ind w:left="709"/>
        <w:jc w:val="both"/>
      </w:pPr>
      <w:r>
        <w:t>Though the standard deviation of Momentum portfolio is not too high the tail risk involved is high. For example d</w:t>
      </w:r>
      <w:r w:rsidR="00ED59B2">
        <w:t xml:space="preserve">uring the 2008 period momentum </w:t>
      </w:r>
      <w:r>
        <w:t>portfolios had drawdowns close to 70</w:t>
      </w:r>
      <w:proofErr w:type="gramStart"/>
      <w:r>
        <w:t>% .</w:t>
      </w:r>
      <w:proofErr w:type="gramEnd"/>
      <w:r>
        <w:t xml:space="preserve"> </w:t>
      </w:r>
    </w:p>
    <w:p w:rsidR="00582846" w:rsidRDefault="00582846" w:rsidP="00582846">
      <w:pPr>
        <w:ind w:left="709"/>
        <w:jc w:val="both"/>
      </w:pP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According to Markowitz’s MVA analysis, we can construct an efficient frontier from a universe of the 500 largest U.S. stocks (essentially the component stocks of the S&amp;P500). If given a risk free rate, we can also easily identify the tangency portfolio. Would we expect the S&amp;P500 to be on the efficient frontier? Would we expect the S&amp;P500 to be the tangency portfolio?</w:t>
      </w:r>
    </w:p>
    <w:p w:rsidR="00582846" w:rsidRDefault="00582846" w:rsidP="00582846">
      <w:pPr>
        <w:pStyle w:val="ListParagraph"/>
        <w:jc w:val="both"/>
      </w:pPr>
    </w:p>
    <w:p w:rsidR="00B91168" w:rsidRDefault="00FF1D7E" w:rsidP="00B91168">
      <w:pPr>
        <w:pStyle w:val="ListParagraph"/>
        <w:jc w:val="both"/>
      </w:pPr>
      <w:r>
        <w:t xml:space="preserve">According MVA analysis, </w:t>
      </w:r>
      <w:r w:rsidR="00B91168">
        <w:t xml:space="preserve">if we have only these 500 stocks to invest and nothing else then S&amp;P500 will be on the efficient frontier and tangent portfolio. </w:t>
      </w:r>
    </w:p>
    <w:p w:rsidR="00F421AF" w:rsidRDefault="00F421AF" w:rsidP="00B91168">
      <w:pPr>
        <w:pStyle w:val="ListParagraph"/>
        <w:jc w:val="both"/>
      </w:pPr>
      <w:r>
        <w:t>This is because the investors have homogenous expectations and when they invest in the available stocks finally everything will be consumed (demand = supply in equilibrium) and the portfolio will finally become value wei</w:t>
      </w:r>
      <w:r w:rsidR="009613F6">
        <w:t xml:space="preserve">ghted. </w:t>
      </w:r>
      <w:bookmarkStart w:id="0" w:name="_GoBack"/>
      <w:bookmarkEnd w:id="0"/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According to CAPM, why would the market portfolio be the tangency portfolio as well? </w:t>
      </w: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jc w:val="both"/>
      </w:pPr>
      <w:r>
        <w:t xml:space="preserve">What might this market portfolio look like, if CAPM is indeed correct? </w:t>
      </w: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jc w:val="both"/>
      </w:pPr>
      <w:r>
        <w:t>Would we expect the S&amp;P500 to be on the efficient frontier or be near the tangency portfolio? What about the MSCI Global index portfolio?</w:t>
      </w:r>
    </w:p>
    <w:p w:rsidR="00582846" w:rsidRDefault="00582846">
      <w:pPr>
        <w:pStyle w:val="ListParagraph"/>
        <w:jc w:val="both"/>
      </w:pPr>
    </w:p>
    <w:p w:rsidR="00582846" w:rsidRDefault="00582846">
      <w:pPr>
        <w:pStyle w:val="ListParagraph"/>
        <w:jc w:val="both"/>
      </w:pP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Describe the modern asset allocation practice employed by most consultants and pension funds.</w:t>
      </w:r>
    </w:p>
    <w:p w:rsidR="00582846" w:rsidRDefault="00582846" w:rsidP="00582846">
      <w:pPr>
        <w:ind w:left="709"/>
        <w:jc w:val="both"/>
      </w:pP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When making manager hiring decisions, why do investors not focus on the Sharpe Ratio of the investment portfolio?</w:t>
      </w:r>
    </w:p>
    <w:p w:rsidR="00EE6AAC" w:rsidRDefault="00EE6AAC" w:rsidP="00EE6AAC">
      <w:pPr>
        <w:ind w:left="709"/>
        <w:jc w:val="both"/>
      </w:pPr>
    </w:p>
    <w:p w:rsidR="00582846" w:rsidRDefault="00582846" w:rsidP="00582846">
      <w:pPr>
        <w:ind w:left="709"/>
        <w:jc w:val="both"/>
      </w:pPr>
    </w:p>
    <w:p w:rsidR="00582846" w:rsidRDefault="00582846" w:rsidP="00582846">
      <w:pPr>
        <w:ind w:left="709"/>
        <w:jc w:val="both"/>
      </w:pPr>
    </w:p>
    <w:p w:rsidR="0082306E" w:rsidRDefault="0082306E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When combining two investment portfolios with high Sharpe Ratios, would the resulting portfolio also have a high Sharpe Ratio? Please give an example or derive carefully your explanation.</w:t>
      </w:r>
    </w:p>
    <w:p w:rsidR="0082306E" w:rsidRDefault="0082306E">
      <w:pPr>
        <w:pStyle w:val="ListParagraph"/>
        <w:jc w:val="both"/>
      </w:pPr>
    </w:p>
    <w:p w:rsidR="003766D5" w:rsidRDefault="003766D5" w:rsidP="003766D5">
      <w:pPr>
        <w:pStyle w:val="ListParagraph"/>
        <w:jc w:val="both"/>
      </w:pPr>
      <w:r>
        <w:t xml:space="preserve">Let’s consider two portfolios with excess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standard deviations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Now Sharpe ratios are:</w:t>
      </w:r>
    </w:p>
    <w:p w:rsidR="003766D5" w:rsidRPr="00B63475" w:rsidRDefault="003766D5" w:rsidP="003766D5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3766D5" w:rsidRPr="00B63475" w:rsidRDefault="003766D5" w:rsidP="003766D5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3766D5" w:rsidRDefault="003766D5" w:rsidP="003766D5">
      <w:pPr>
        <w:pStyle w:val="ListParagraph"/>
        <w:jc w:val="both"/>
      </w:pPr>
    </w:p>
    <w:p w:rsidR="003766D5" w:rsidRPr="003766D5" w:rsidRDefault="003766D5" w:rsidP="003766D5">
      <w:pPr>
        <w:pStyle w:val="ListParagraph"/>
        <w:jc w:val="both"/>
      </w:pPr>
      <w:r>
        <w:t xml:space="preserve">Now the Sharpe ratio of the combined portfolio is </w:t>
      </w:r>
    </w:p>
    <w:p w:rsidR="003766D5" w:rsidRPr="003766D5" w:rsidRDefault="003766D5" w:rsidP="003766D5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Portfolio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3766D5" w:rsidRDefault="003766D5" w:rsidP="003766D5">
      <w:pPr>
        <w:pStyle w:val="ListParagraph"/>
        <w:jc w:val="both"/>
      </w:pPr>
      <w:r>
        <w:t xml:space="preserve">Now this is greater than the minimum of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 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H</w:t>
      </w:r>
      <w:proofErr w:type="spellStart"/>
      <w:r>
        <w:t>ence</w:t>
      </w:r>
      <w:proofErr w:type="spellEnd"/>
      <w:r>
        <w:t xml:space="preserve"> even the resulting portfolio will have a high sharp ratio.</w:t>
      </w:r>
    </w:p>
    <w:p w:rsidR="003766D5" w:rsidRDefault="003766D5">
      <w:pPr>
        <w:pStyle w:val="ListParagraph"/>
        <w:jc w:val="both"/>
      </w:pPr>
    </w:p>
    <w:p w:rsidR="00582846" w:rsidRDefault="00582846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When combining two investment strategies with high information ratios relative to the S&amp;P500 benchmark, would the resulting portfolio have a higher IR? Again, give an example or derive carefully your explanation.</w:t>
      </w:r>
    </w:p>
    <w:p w:rsidR="0082306E" w:rsidRDefault="0082306E">
      <w:pPr>
        <w:pStyle w:val="ListParagraph"/>
        <w:jc w:val="both"/>
      </w:pPr>
    </w:p>
    <w:p w:rsidR="00B63475" w:rsidRDefault="00B63475">
      <w:pPr>
        <w:pStyle w:val="ListParagraph"/>
        <w:jc w:val="both"/>
      </w:pPr>
    </w:p>
    <w:p w:rsidR="00582846" w:rsidRDefault="00582846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What is the difference between hedging and diversification?</w:t>
      </w:r>
    </w:p>
    <w:p w:rsidR="002A24A8" w:rsidRDefault="002A24A8" w:rsidP="002A24A8">
      <w:pPr>
        <w:ind w:left="709"/>
        <w:jc w:val="both"/>
      </w:pPr>
      <w:r>
        <w:t>Answer:</w:t>
      </w:r>
    </w:p>
    <w:p w:rsidR="0082306E" w:rsidRDefault="00ED59B2">
      <w:pPr>
        <w:pStyle w:val="ListParagraph"/>
        <w:jc w:val="both"/>
      </w:pPr>
      <w:r>
        <w:t>Diversification is reducing the non-systematic risk by investing in multiple asset classes where</w:t>
      </w:r>
      <w:r w:rsidR="002A24A8">
        <w:t xml:space="preserve"> </w:t>
      </w:r>
      <w:r>
        <w:t xml:space="preserve">s </w:t>
      </w:r>
      <w:r w:rsidR="002A24A8">
        <w:t xml:space="preserve">Hedging is protecting against a loss by taking positions in negatively correlated asset, </w:t>
      </w:r>
      <w:proofErr w:type="spellStart"/>
      <w:r w:rsidR="002A24A8">
        <w:t>i.e</w:t>
      </w:r>
      <w:proofErr w:type="spellEnd"/>
      <w:r w:rsidR="002A24A8">
        <w:t>, protecting the loss against systematic risk also.</w:t>
      </w:r>
    </w:p>
    <w:p w:rsidR="00582846" w:rsidRDefault="00582846">
      <w:pPr>
        <w:pStyle w:val="ListParagraph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According to consumption CAPM (CCAPM), shocks to our aggregate consumption (or aggregate wealth) are risks that are priced. A proxy which captures shocks to our aggregate consumption is the S&amp;P500 portfolio. Please explain why the S&amp;P500 might be a proxy for aggregate consumption shock?</w:t>
      </w:r>
    </w:p>
    <w:p w:rsidR="0082306E" w:rsidRDefault="00582846">
      <w:pPr>
        <w:ind w:left="720"/>
        <w:jc w:val="both"/>
      </w:pPr>
      <w:r>
        <w:t>In the context of CCAPM, why is beta relative to the S&amp;P500 a measure of risk?</w:t>
      </w:r>
    </w:p>
    <w:p w:rsidR="0082306E" w:rsidRDefault="0082306E">
      <w:pPr>
        <w:ind w:left="720"/>
        <w:jc w:val="both"/>
      </w:pPr>
    </w:p>
    <w:p w:rsidR="00582846" w:rsidRDefault="00582846">
      <w:pPr>
        <w:ind w:left="720"/>
        <w:jc w:val="both"/>
      </w:pPr>
    </w:p>
    <w:p w:rsidR="00582846" w:rsidRDefault="00582846">
      <w:pPr>
        <w:ind w:left="720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>Explain APT in the context of the CCAPM.</w:t>
      </w:r>
    </w:p>
    <w:p w:rsidR="0082306E" w:rsidRDefault="00582846">
      <w:pPr>
        <w:ind w:left="720"/>
        <w:jc w:val="both"/>
      </w:pPr>
      <w:r>
        <w:t xml:space="preserve">Why are </w:t>
      </w:r>
      <w:r w:rsidR="00F37977">
        <w:t>covariance’s</w:t>
      </w:r>
      <w:r>
        <w:t xml:space="preserve"> with different “APT” factors measurements of risk?</w:t>
      </w:r>
    </w:p>
    <w:p w:rsidR="0082306E" w:rsidRDefault="0082306E">
      <w:pPr>
        <w:ind w:left="720"/>
        <w:jc w:val="both"/>
      </w:pPr>
    </w:p>
    <w:p w:rsidR="00582846" w:rsidRDefault="00582846">
      <w:pPr>
        <w:ind w:left="720"/>
        <w:jc w:val="both"/>
      </w:pPr>
    </w:p>
    <w:p w:rsidR="00582846" w:rsidRDefault="00582846">
      <w:pPr>
        <w:ind w:left="720"/>
        <w:jc w:val="both"/>
      </w:pP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Please use the LSV argument to explain the momentum, long horizon mean-reversion, and the </w:t>
      </w:r>
      <w:r>
        <w:lastRenderedPageBreak/>
        <w:t xml:space="preserve">value effect. </w:t>
      </w:r>
    </w:p>
    <w:p w:rsidR="0082306E" w:rsidRDefault="00582846">
      <w:pPr>
        <w:ind w:left="720"/>
        <w:jc w:val="both"/>
      </w:pPr>
      <w:r>
        <w:t>Carefully explain why long horizon mean-reversion might be the same thing as the value effect.</w:t>
      </w:r>
    </w:p>
    <w:p w:rsidR="0082306E" w:rsidRDefault="00582846">
      <w:pPr>
        <w:ind w:left="360"/>
        <w:jc w:val="both"/>
      </w:pPr>
      <w:r>
        <w:tab/>
      </w:r>
    </w:p>
    <w:p w:rsidR="00582846" w:rsidRDefault="00F37977">
      <w:pPr>
        <w:ind w:left="360"/>
        <w:jc w:val="both"/>
      </w:pPr>
      <w:r>
        <w:tab/>
      </w:r>
    </w:p>
    <w:p w:rsidR="00582846" w:rsidRDefault="00582846">
      <w:pPr>
        <w:ind w:left="360"/>
        <w:jc w:val="both"/>
      </w:pPr>
      <w:r>
        <w:tab/>
      </w:r>
    </w:p>
    <w:p w:rsidR="00582846" w:rsidRDefault="00582846">
      <w:pPr>
        <w:ind w:left="360"/>
        <w:jc w:val="both"/>
      </w:pPr>
    </w:p>
    <w:p w:rsidR="00582846" w:rsidRDefault="00582846">
      <w:pPr>
        <w:ind w:left="360"/>
        <w:jc w:val="both"/>
      </w:pPr>
      <w:r>
        <w:tab/>
      </w:r>
    </w:p>
    <w:p w:rsidR="00582846" w:rsidRDefault="00582846">
      <w:pPr>
        <w:ind w:left="360"/>
        <w:jc w:val="both"/>
      </w:pPr>
      <w:r>
        <w:tab/>
      </w:r>
    </w:p>
    <w:p w:rsidR="00582846" w:rsidRDefault="00582846">
      <w:pPr>
        <w:ind w:left="360"/>
        <w:jc w:val="both"/>
      </w:pPr>
      <w:r>
        <w:tab/>
      </w:r>
    </w:p>
    <w:p w:rsidR="0082306E" w:rsidRDefault="00582846">
      <w:pPr>
        <w:pStyle w:val="ListParagraph"/>
        <w:numPr>
          <w:ilvl w:val="0"/>
          <w:numId w:val="1"/>
        </w:numPr>
        <w:jc w:val="both"/>
      </w:pPr>
      <w:r>
        <w:t xml:space="preserve">How might one interpret the </w:t>
      </w:r>
      <w:proofErr w:type="spellStart"/>
      <w:r>
        <w:t>Fama</w:t>
      </w:r>
      <w:proofErr w:type="spellEnd"/>
      <w:r>
        <w:t>-French 2007 paper as a support for the LSV argument for the value effect?</w:t>
      </w:r>
    </w:p>
    <w:p w:rsidR="0082306E" w:rsidRDefault="0082306E">
      <w:pPr>
        <w:pStyle w:val="ListParagraph"/>
        <w:jc w:val="both"/>
      </w:pPr>
    </w:p>
    <w:p w:rsidR="00582846" w:rsidRDefault="00582846">
      <w:pPr>
        <w:pStyle w:val="ListParagraph"/>
        <w:jc w:val="both"/>
      </w:pPr>
    </w:p>
    <w:p w:rsidR="00582846" w:rsidRDefault="00582846">
      <w:pPr>
        <w:pStyle w:val="ListParagraph"/>
        <w:jc w:val="both"/>
      </w:pPr>
    </w:p>
    <w:p w:rsidR="0082306E" w:rsidRDefault="0082306E">
      <w:pPr>
        <w:pStyle w:val="ListParagraph"/>
        <w:jc w:val="both"/>
      </w:pPr>
    </w:p>
    <w:p w:rsidR="0082306E" w:rsidRDefault="00582846">
      <w:pPr>
        <w:jc w:val="both"/>
      </w:pPr>
      <w:r>
        <w:rPr>
          <w:u w:val="single"/>
        </w:rPr>
        <w:t>Submission</w:t>
      </w:r>
      <w:r>
        <w:t>:</w:t>
      </w:r>
    </w:p>
    <w:p w:rsidR="0082306E" w:rsidRDefault="00582846">
      <w:pPr>
        <w:jc w:val="both"/>
      </w:pPr>
      <w:r>
        <w:t xml:space="preserve">Submit your solution to the CCLE </w:t>
      </w:r>
      <w:proofErr w:type="spellStart"/>
      <w:r>
        <w:t>dropbox</w:t>
      </w:r>
      <w:proofErr w:type="spellEnd"/>
      <w:r>
        <w:t xml:space="preserve"> under week 6 by midnight on Sunday May 8. If you have issues you may e-mail your submission to the TA at: </w:t>
      </w:r>
      <w:hyperlink r:id="rId6">
        <w:r>
          <w:rPr>
            <w:rStyle w:val="InternetLink"/>
          </w:rPr>
          <w:t>nimesh.patel.1@anderson.ucla.edu</w:t>
        </w:r>
      </w:hyperlink>
      <w:r>
        <w:t xml:space="preserve">. </w:t>
      </w:r>
    </w:p>
    <w:sectPr w:rsidR="0082306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CC3"/>
    <w:multiLevelType w:val="multilevel"/>
    <w:tmpl w:val="4052F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0E6"/>
    <w:multiLevelType w:val="multilevel"/>
    <w:tmpl w:val="0D6072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DF1514"/>
    <w:multiLevelType w:val="hybridMultilevel"/>
    <w:tmpl w:val="6E86647C"/>
    <w:lvl w:ilvl="0" w:tplc="6C8CCC70">
      <w:numFmt w:val="bullet"/>
      <w:lvlText w:val=""/>
      <w:lvlJc w:val="left"/>
      <w:pPr>
        <w:ind w:left="108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6E"/>
    <w:rsid w:val="00061D26"/>
    <w:rsid w:val="000623A3"/>
    <w:rsid w:val="000647C4"/>
    <w:rsid w:val="002A24A8"/>
    <w:rsid w:val="003766D5"/>
    <w:rsid w:val="00542214"/>
    <w:rsid w:val="00582846"/>
    <w:rsid w:val="00644661"/>
    <w:rsid w:val="0082306E"/>
    <w:rsid w:val="008A6CF7"/>
    <w:rsid w:val="009613F6"/>
    <w:rsid w:val="00B17A2F"/>
    <w:rsid w:val="00B24ACE"/>
    <w:rsid w:val="00B63475"/>
    <w:rsid w:val="00B91168"/>
    <w:rsid w:val="00ED59B2"/>
    <w:rsid w:val="00EE6AAC"/>
    <w:rsid w:val="00F37977"/>
    <w:rsid w:val="00F421AF"/>
    <w:rsid w:val="00FF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0A8B"/>
  <w15:docId w15:val="{8E4B2FB5-A14E-4B0D-A842-343853DC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214"/>
    <w:rPr>
      <w:color w:val="808080"/>
    </w:rPr>
  </w:style>
  <w:style w:type="table" w:styleId="TableGrid">
    <w:name w:val="Table Grid"/>
    <w:basedOn w:val="TableNormal"/>
    <w:uiPriority w:val="39"/>
    <w:rsid w:val="00F3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mesh.patel.1@anderson.ucl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E098B-A808-4BDA-B00D-32103759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3</cp:revision>
  <dcterms:created xsi:type="dcterms:W3CDTF">2016-05-08T23:54:00Z</dcterms:created>
  <dcterms:modified xsi:type="dcterms:W3CDTF">2016-05-09T00:45:00Z</dcterms:modified>
  <dc:language>en-US</dc:language>
</cp:coreProperties>
</file>