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Klasifikasi Penyakit Daun Tanaman Menggunakan Convolutional Neural Network pada Dataset PlantVillage dengan Deployment Lightweight untuk Inferensi Edge</w:t>
      </w:r>
    </w:p>
    <w:p>
      <w:pPr>
        <w:spacing w:after="40"/>
        <w:jc w:val="center"/>
      </w:pPr>
      <w:r>
        <w:rPr>
          <w:rFonts w:ascii="Times New Roman" w:hAnsi="Times New Roman"/>
          <w:sz w:val="20"/>
        </w:rPr>
        <w:t>Raka Alpiansyah</w:t>
      </w:r>
    </w:p>
    <w:p>
      <w:pPr>
        <w:spacing w:after="240"/>
        <w:jc w:val="center"/>
      </w:pPr>
      <w:r>
        <w:rPr>
          <w:rFonts w:ascii="Times New Roman" w:hAnsi="Times New Roman"/>
          <w:i/>
          <w:sz w:val="18"/>
        </w:rPr>
        <w:t>Program Studi Informatika, Universitas XYZ</w:t>
        <w:br/>
        <w:t>Email: raka@email.com</w:t>
      </w:r>
    </w:p>
    <w:p>
      <w:pPr>
        <w:spacing w:after="40"/>
        <w:jc w:val="both"/>
      </w:pPr>
      <w:r>
        <w:rPr>
          <w:rFonts w:ascii="Times New Roman" w:hAnsi="Times New Roman"/>
          <w:b/>
          <w:sz w:val="18"/>
        </w:rPr>
        <w:t>Abstrak</w:t>
      </w:r>
    </w:p>
    <w:p>
      <w:pPr>
        <w:spacing w:after="120"/>
        <w:jc w:val="both"/>
      </w:pPr>
      <w:r>
        <w:rPr>
          <w:rFonts w:ascii="Times New Roman" w:hAnsi="Times New Roman"/>
          <w:sz w:val="18"/>
        </w:rPr>
        <w:t>Penyakit pada tanaman menjadi salah satu faktor utama penurunan hasil pertanian global. Deteksi dini berbasis citra daun menggunakan kecerdasan buatan dapat membantu petani melakukan penanganan secara lebih cepat dan akurat. Penelitian ini mengusulkan model Convolutional Neural Network (CNN) dengan arsitektur empat blok konvolusi untuk mengklasifikasikan 38 kelas penyakit dan kondisi sehat daun pada dataset PlantVillage. Dataset yang terdiri dari 54.305 citra dibagi menjadi data latih (80%), validasi (10%), dan uji (10%) menggunakan stratified split. Praproses meliputi resize citra ke 140×140 piksel, normalisasi piksel, serta augmentasi data (random flip, rotation, zoom). Model dilatih menggunakan optimizer Adam dengan strategi Early Stopping, ReduceLROnPlateau, serta mekanisme Fallback Out-of-Memory untuk ketahanan di lingkungan komputasi terbatas. Hasil pengujian menunjukkan akurasi data latih sebesar 98,47% dan akurasi data uji sebesar 97,12%. Model dikonversi ke format TensorFlow Lite (4,4 MB) dan diimplementasikan dalam antarmuka web Gradio dengan latensi ~6 ms per citra. Studi ablasi terhadap 38 sampel citra in-vitro yang diproses menggunakan segmentasi U-Net (rembg) mengungkap fenomena Clever Hans Effect, di mana CNN terbukti mengalami overfitting pada tekstur latar belakang dataset, bukan pada fitur patologis daun. Temuan ini menegaskan keterbatasan fundamental dataset PlantVillage untuk aplikasi dunia nyata dan menjadi landasan kritis bagi pengembangan arsitektur two-stage pipeline di masa depan.</w:t>
      </w:r>
    </w:p>
    <w:p>
      <w:pPr>
        <w:spacing w:after="40"/>
        <w:jc w:val="both"/>
      </w:pPr>
      <w:r>
        <w:rPr>
          <w:rFonts w:ascii="Times New Roman" w:hAnsi="Times New Roman"/>
          <w:b/>
          <w:sz w:val="18"/>
        </w:rPr>
        <w:t>Kata kunci: klasifikasi penyakit tanaman, convolutional neural network, PlantVillage, deep learning, TensorFlow Lite, domain shift</w:t>
      </w:r>
    </w:p>
    <w:p>
      <w:pPr>
        <w:spacing w:before="240" w:after="120"/>
      </w:pPr>
      <w:r>
        <w:rPr>
          <w:rFonts w:ascii="Times New Roman" w:hAnsi="Times New Roman"/>
          <w:b/>
          <w:sz w:val="20"/>
        </w:rPr>
        <w:t>I. PENDAHULUAN</w:t>
      </w:r>
    </w:p>
    <w:p>
      <w:pPr>
        <w:spacing w:after="60"/>
        <w:ind w:firstLine="567"/>
        <w:jc w:val="both"/>
      </w:pPr>
      <w:r>
        <w:rPr>
          <w:rFonts w:ascii="Times New Roman" w:hAnsi="Times New Roman"/>
          <w:sz w:val="20"/>
        </w:rPr>
        <w:t>Penyakit tanaman merupakan salah satu ancaman paling serius terhadap ketahanan pangan global. Menurut data Food and Agriculture Organization (FAO), penyakit tanaman menyebabkan kerugian hasil panen sebesar 20-40% setiap tahunnya di seluruh dunia [1]. Deteksi dini penyakit tanaman secara tradisional masih sangat bergantung pada inspeksi visual oleh ahli agronomi, yang memerlukan waktu, biaya, dan keahlian khusus, serta rentan terhadap kesalahan diagnosis subjektif [2].</w:t>
      </w:r>
    </w:p>
    <w:p>
      <w:pPr>
        <w:spacing w:after="60"/>
        <w:ind w:firstLine="567"/>
        <w:jc w:val="both"/>
      </w:pPr>
      <w:r>
        <w:rPr>
          <w:rFonts w:ascii="Times New Roman" w:hAnsi="Times New Roman"/>
          <w:sz w:val="20"/>
        </w:rPr>
        <w:t>Perkembangan pesat di bidang deep learning, khususnya Convolutional Neural Network (CNN), telah membuka paradigma baru dalam klasifikasi citra penyakit tanaman secara otomatis. CNN memiliki kemampuan unggul dalam mengekstraksi fitur visual hierarkis (tekstur, warna, bentuk lesi) secara otomatis tanpa memerlukan rekayasa fitur manual (feature engineering) [3]. Dataset PlantVillage, yang berisi 54.305 citra daun dari 14 spesies tanaman dengan 38 kelas penyakit dan kondisi sehat, telah menjadi benchmark paling umum dalam riset klasifikasi penyakit tanaman berbasis deep learning [4][5].</w:t>
      </w:r>
    </w:p>
    <w:p>
      <w:pPr>
        <w:spacing w:after="60"/>
        <w:ind w:firstLine="567"/>
        <w:jc w:val="both"/>
      </w:pPr>
      <w:r>
        <w:rPr>
          <w:rFonts w:ascii="Times New Roman" w:hAnsi="Times New Roman"/>
          <w:sz w:val="20"/>
        </w:rPr>
        <w:t>Meskipun berbagai arsitektur CNN seperti ResNet, VGG, dan EfficientNet telah mencapai akurasi tinggi pada dataset ini, sebagian besar model tersebut memiliki jumlah parameter yang sangat besar sehingga tidak efisien untuk dijalankan pada perangkat edge atau CPU dengan sumber daya terbatas [6][7]. Selain itu, mayoritas penelitian terdahulu berhenti pada pelaporan metrik akurasi tanpa membahas aspek rekayasa pelatihan (training engineering) seperti ketahanan terhadap interupsi, manajemen memori, dan deployment model ke format ringan [8]. Lebih jauh lagi, analisis kritis terhadap kerentanan model CNN yang dilatih pada dataset laboratorium (in-vitro) terhadap fenomena domain shift masih sangat terbatas dalam literatur [9][10].</w:t>
      </w:r>
    </w:p>
    <w:p>
      <w:pPr>
        <w:spacing w:after="60"/>
        <w:ind w:firstLine="567"/>
        <w:jc w:val="both"/>
      </w:pPr>
      <w:r>
        <w:rPr>
          <w:rFonts w:ascii="Times New Roman" w:hAnsi="Times New Roman"/>
          <w:sz w:val="20"/>
        </w:rPr>
        <w:t>Berdasarkan permasalahan tersebut, penelitian ini bertujuan untuk: (1) membangun model CNN empat blok konvolusi yang ringan namun kompetitif untuk mengklasifikasikan 38 kelas penyakit tanaman, (2) menerapkan strategi pelatihan yang tangguh (robust) terhadap keterbatasan sumber daya komputasi, (3) mengonversi dan men-deploy model ke format TensorFlow Lite dengan antarmuka web interaktif, dan (4) melakukan studi ablasi untuk menganalisis kerentanan model terhadap domain shift antara citra laboratorium dan kondisi dunia nyata.</w:t>
      </w:r>
    </w:p>
    <w:p>
      <w:pPr>
        <w:spacing w:before="240" w:after="120"/>
      </w:pPr>
      <w:r>
        <w:rPr>
          <w:rFonts w:ascii="Times New Roman" w:hAnsi="Times New Roman"/>
          <w:b/>
          <w:sz w:val="20"/>
        </w:rPr>
        <w:t>II. TINJAUAN PUSTAKA</w:t>
      </w:r>
    </w:p>
    <w:p>
      <w:pPr>
        <w:spacing w:after="60"/>
        <w:ind w:firstLine="567"/>
        <w:jc w:val="both"/>
      </w:pPr>
      <w:r>
        <w:rPr>
          <w:rFonts w:ascii="Times New Roman" w:hAnsi="Times New Roman"/>
          <w:sz w:val="20"/>
        </w:rPr>
        <w:t>Klasifikasi penyakit tanaman menggunakan CNN telah diteliti secara ekstensif dalam lima tahun terakhir. Beberapa penelitian menggunakan arsitektur transfer learning dari model yang telah dilatih sebelumnya pada dataset berskala besar seperti ImageNet. Chen et al. [3] mengusulkan arsitektur CNN dengan mekanisme Squeeze-and-Excitation (SE Block) yang berhasil mencapai akurasi 99,79% pada 38 kelas PlantVillage. Kumar dan Singh [5] memperkenalkan model ringan Mob-Res yang menggabungkan MobileNetV2 dengan residual block, mencapai akurasi 99,47% dengan hanya 3,51 juta parameter.</w:t>
      </w:r>
    </w:p>
    <w:p>
      <w:pPr>
        <w:spacing w:after="60"/>
        <w:ind w:firstLine="567"/>
        <w:jc w:val="both"/>
      </w:pPr>
      <w:r>
        <w:rPr>
          <w:rFonts w:ascii="Times New Roman" w:hAnsi="Times New Roman"/>
          <w:sz w:val="20"/>
        </w:rPr>
        <w:t>Li et al. [6] mengembangkan USENet, sebuah model lightweight berbasis MobileNetV3 dan Spatial Pyramid Pooling (SPP) yang mencapai F1-score 0,993 dengan parameter hanya sekitar 41 ribu, menunjukkan potensi besar untuk deployment di perangkat edge. Rahman et al. [7] mengimplementasikan sistem klasifikasi penyakit tanaman berbasis CNN dengan backend Flask untuk deployment web real-time, mencapai akurasi validasi 96,9% pada PlantVillage.</w:t>
      </w:r>
    </w:p>
    <w:p>
      <w:pPr>
        <w:spacing w:after="60"/>
        <w:ind w:firstLine="567"/>
        <w:jc w:val="both"/>
      </w:pPr>
      <w:r>
        <w:rPr>
          <w:rFonts w:ascii="Times New Roman" w:hAnsi="Times New Roman"/>
          <w:sz w:val="20"/>
        </w:rPr>
        <w:t>Dalam konteks explainability, beberapa penelitian terbaru mengintegrasikan teknik Grad-CAM (Gradient-weighted Class Activation Mapping) untuk memvisualisasikan area citra yang paling berkontribusi terhadap keputusan klasifikasi CNN [11][12]. Pendekatan ini meningkatkan transparansi dan kepercayaan terhadap model deep learning dalam konteks pertanian [13].</w:t>
      </w:r>
    </w:p>
    <w:p>
      <w:pPr>
        <w:spacing w:after="60"/>
        <w:ind w:firstLine="567"/>
        <w:jc w:val="both"/>
      </w:pPr>
      <w:r>
        <w:rPr>
          <w:rFonts w:ascii="Times New Roman" w:hAnsi="Times New Roman"/>
          <w:sz w:val="20"/>
        </w:rPr>
        <w:t>Terkait deployment pada perangkat terbatas, beberapa studi telah mengeksplorasi konversi model ke format TensorFlow Lite (TFLite) dengan teknik kuantisasi untuk mengurangi ukuran model dan mempercepat inferensi [14][15]. Namun, aspek rekayasa pelatihan seperti mekanisme resume training dan fallback Out-of-Memory (OOM) masih jarang dibahas secara mendalam.</w:t>
      </w:r>
    </w:p>
    <w:p>
      <w:pPr>
        <w:spacing w:after="60"/>
        <w:ind w:firstLine="567"/>
        <w:jc w:val="both"/>
      </w:pPr>
      <w:r>
        <w:rPr>
          <w:rFonts w:ascii="Times New Roman" w:hAnsi="Times New Roman"/>
          <w:sz w:val="20"/>
        </w:rPr>
        <w:t>Tantangan fundamental yang dihadapi oleh seluruh model yang dilatih pada dataset PlantVillage adalah masalah domain shift. Beberapa penelitian mengungkapkan bahwa akurasi tinggi yang dicapai pada kondisi laboratorium (in-vitro) tidak serta-merta dapat ditranslasikan ke kondisi perkebunan nyata (in-the-wild) [9][10][16]. Studi terbaru oleh Zhao et al. [10] secara eksplisit membahas kesenjangan antara performa akademis dan praktis dalam diagnosis penyakit tanaman menggunakan Vision Transformer dan Zero-Shot Learning.</w:t>
      </w:r>
    </w:p>
    <w:p>
      <w:pPr>
        <w:spacing w:before="120" w:after="60"/>
        <w:jc w:val="center"/>
      </w:pPr>
      <w:r>
        <w:rPr>
          <w:rFonts w:ascii="Times New Roman" w:hAnsi="Times New Roman"/>
          <w:b/>
          <w:sz w:val="18"/>
        </w:rPr>
        <w:t>Tabel 1. Perbandingan Penelitian Terdahulu</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Times New Roman" w:hAnsi="Times New Roman"/>
                <w:b/>
                <w:sz w:val="18"/>
              </w:rPr>
              <w:t>No</w:t>
            </w:r>
          </w:p>
        </w:tc>
        <w:tc>
          <w:tcPr>
            <w:tcW w:type="dxa" w:w="1994"/>
          </w:tcPr>
          <w:p>
            <w:pPr>
              <w:jc w:val="center"/>
            </w:pPr>
            <w:r/>
            <w:r>
              <w:rPr>
                <w:rFonts w:ascii="Times New Roman" w:hAnsi="Times New Roman"/>
                <w:b/>
                <w:sz w:val="18"/>
              </w:rPr>
              <w:t>Peneliti (Tahun)</w:t>
            </w:r>
          </w:p>
        </w:tc>
        <w:tc>
          <w:tcPr>
            <w:tcW w:type="dxa" w:w="1994"/>
          </w:tcPr>
          <w:p>
            <w:pPr>
              <w:jc w:val="center"/>
            </w:pPr>
            <w:r/>
            <w:r>
              <w:rPr>
                <w:rFonts w:ascii="Times New Roman" w:hAnsi="Times New Roman"/>
                <w:b/>
                <w:sz w:val="18"/>
              </w:rPr>
              <w:t>Metode</w:t>
            </w:r>
          </w:p>
        </w:tc>
        <w:tc>
          <w:tcPr>
            <w:tcW w:type="dxa" w:w="1994"/>
          </w:tcPr>
          <w:p>
            <w:pPr>
              <w:jc w:val="center"/>
            </w:pPr>
            <w:r/>
            <w:r>
              <w:rPr>
                <w:rFonts w:ascii="Times New Roman" w:hAnsi="Times New Roman"/>
                <w:b/>
                <w:sz w:val="18"/>
              </w:rPr>
              <w:t>Dataset</w:t>
            </w:r>
          </w:p>
        </w:tc>
        <w:tc>
          <w:tcPr>
            <w:tcW w:type="dxa" w:w="1994"/>
          </w:tcPr>
          <w:p>
            <w:pPr>
              <w:jc w:val="center"/>
            </w:pPr>
            <w:r/>
            <w:r>
              <w:rPr>
                <w:rFonts w:ascii="Times New Roman" w:hAnsi="Times New Roman"/>
                <w:b/>
                <w:sz w:val="18"/>
              </w:rPr>
              <w:t>Akurasi</w:t>
            </w:r>
          </w:p>
        </w:tc>
      </w:tr>
      <w:tr>
        <w:tc>
          <w:tcPr>
            <w:tcW w:type="dxa" w:w="1994"/>
          </w:tcPr>
          <w:p>
            <w:pPr>
              <w:jc w:val="center"/>
            </w:pPr>
            <w:r/>
            <w:r>
              <w:rPr>
                <w:rFonts w:ascii="Times New Roman" w:hAnsi="Times New Roman"/>
                <w:sz w:val="18"/>
              </w:rPr>
              <w:t>1</w:t>
            </w:r>
          </w:p>
        </w:tc>
        <w:tc>
          <w:tcPr>
            <w:tcW w:type="dxa" w:w="1994"/>
          </w:tcPr>
          <w:p>
            <w:pPr>
              <w:jc w:val="center"/>
            </w:pPr>
            <w:r/>
            <w:r>
              <w:rPr>
                <w:rFonts w:ascii="Times New Roman" w:hAnsi="Times New Roman"/>
                <w:sz w:val="18"/>
              </w:rPr>
              <w:t>Chen et al. (2025) [3]</w:t>
            </w:r>
          </w:p>
        </w:tc>
        <w:tc>
          <w:tcPr>
            <w:tcW w:type="dxa" w:w="1994"/>
          </w:tcPr>
          <w:p>
            <w:pPr>
              <w:jc w:val="center"/>
            </w:pPr>
            <w:r/>
            <w:r>
              <w:rPr>
                <w:rFonts w:ascii="Times New Roman" w:hAnsi="Times New Roman"/>
                <w:sz w:val="18"/>
              </w:rPr>
              <w:t>CNN + SE Block</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99,79%</w:t>
            </w:r>
          </w:p>
        </w:tc>
      </w:tr>
      <w:tr>
        <w:tc>
          <w:tcPr>
            <w:tcW w:type="dxa" w:w="1994"/>
          </w:tcPr>
          <w:p>
            <w:pPr>
              <w:jc w:val="center"/>
            </w:pPr>
            <w:r/>
            <w:r>
              <w:rPr>
                <w:rFonts w:ascii="Times New Roman" w:hAnsi="Times New Roman"/>
                <w:sz w:val="18"/>
              </w:rPr>
              <w:t>2</w:t>
            </w:r>
          </w:p>
        </w:tc>
        <w:tc>
          <w:tcPr>
            <w:tcW w:type="dxa" w:w="1994"/>
          </w:tcPr>
          <w:p>
            <w:pPr>
              <w:jc w:val="center"/>
            </w:pPr>
            <w:r/>
            <w:r>
              <w:rPr>
                <w:rFonts w:ascii="Times New Roman" w:hAnsi="Times New Roman"/>
                <w:sz w:val="18"/>
              </w:rPr>
              <w:t>Kumar &amp; Singh (2025) [5]</w:t>
            </w:r>
          </w:p>
        </w:tc>
        <w:tc>
          <w:tcPr>
            <w:tcW w:type="dxa" w:w="1994"/>
          </w:tcPr>
          <w:p>
            <w:pPr>
              <w:jc w:val="center"/>
            </w:pPr>
            <w:r/>
            <w:r>
              <w:rPr>
                <w:rFonts w:ascii="Times New Roman" w:hAnsi="Times New Roman"/>
                <w:sz w:val="18"/>
              </w:rPr>
              <w:t>MobileNetV2 + Residual</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99,47%</w:t>
            </w:r>
          </w:p>
        </w:tc>
      </w:tr>
      <w:tr>
        <w:tc>
          <w:tcPr>
            <w:tcW w:type="dxa" w:w="1994"/>
          </w:tcPr>
          <w:p>
            <w:pPr>
              <w:jc w:val="center"/>
            </w:pPr>
            <w:r/>
            <w:r>
              <w:rPr>
                <w:rFonts w:ascii="Times New Roman" w:hAnsi="Times New Roman"/>
                <w:sz w:val="18"/>
              </w:rPr>
              <w:t>3</w:t>
            </w:r>
          </w:p>
        </w:tc>
        <w:tc>
          <w:tcPr>
            <w:tcW w:type="dxa" w:w="1994"/>
          </w:tcPr>
          <w:p>
            <w:pPr>
              <w:jc w:val="center"/>
            </w:pPr>
            <w:r/>
            <w:r>
              <w:rPr>
                <w:rFonts w:ascii="Times New Roman" w:hAnsi="Times New Roman"/>
                <w:sz w:val="18"/>
              </w:rPr>
              <w:t>Li et al. (2025) [6]</w:t>
            </w:r>
          </w:p>
        </w:tc>
        <w:tc>
          <w:tcPr>
            <w:tcW w:type="dxa" w:w="1994"/>
          </w:tcPr>
          <w:p>
            <w:pPr>
              <w:jc w:val="center"/>
            </w:pPr>
            <w:r/>
            <w:r>
              <w:rPr>
                <w:rFonts w:ascii="Times New Roman" w:hAnsi="Times New Roman"/>
                <w:sz w:val="18"/>
              </w:rPr>
              <w:t>USENet (MobileNetV3)</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F1: 0,993</w:t>
            </w:r>
          </w:p>
        </w:tc>
      </w:tr>
      <w:tr>
        <w:tc>
          <w:tcPr>
            <w:tcW w:type="dxa" w:w="1994"/>
          </w:tcPr>
          <w:p>
            <w:pPr>
              <w:jc w:val="center"/>
            </w:pPr>
            <w:r/>
            <w:r>
              <w:rPr>
                <w:rFonts w:ascii="Times New Roman" w:hAnsi="Times New Roman"/>
                <w:sz w:val="18"/>
              </w:rPr>
              <w:t>4</w:t>
            </w:r>
          </w:p>
        </w:tc>
        <w:tc>
          <w:tcPr>
            <w:tcW w:type="dxa" w:w="1994"/>
          </w:tcPr>
          <w:p>
            <w:pPr>
              <w:jc w:val="center"/>
            </w:pPr>
            <w:r/>
            <w:r>
              <w:rPr>
                <w:rFonts w:ascii="Times New Roman" w:hAnsi="Times New Roman"/>
                <w:sz w:val="18"/>
              </w:rPr>
              <w:t>Rahman et al. (2025) [7]</w:t>
            </w:r>
          </w:p>
        </w:tc>
        <w:tc>
          <w:tcPr>
            <w:tcW w:type="dxa" w:w="1994"/>
          </w:tcPr>
          <w:p>
            <w:pPr>
              <w:jc w:val="center"/>
            </w:pPr>
            <w:r/>
            <w:r>
              <w:rPr>
                <w:rFonts w:ascii="Times New Roman" w:hAnsi="Times New Roman"/>
                <w:sz w:val="18"/>
              </w:rPr>
              <w:t>CNN + Flask Web</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96,9%</w:t>
            </w:r>
          </w:p>
        </w:tc>
      </w:tr>
      <w:tr>
        <w:tc>
          <w:tcPr>
            <w:tcW w:type="dxa" w:w="1994"/>
          </w:tcPr>
          <w:p>
            <w:pPr>
              <w:jc w:val="center"/>
            </w:pPr>
            <w:r/>
            <w:r>
              <w:rPr>
                <w:rFonts w:ascii="Times New Roman" w:hAnsi="Times New Roman"/>
                <w:sz w:val="18"/>
              </w:rPr>
              <w:t>5</w:t>
            </w:r>
          </w:p>
        </w:tc>
        <w:tc>
          <w:tcPr>
            <w:tcW w:type="dxa" w:w="1994"/>
          </w:tcPr>
          <w:p>
            <w:pPr>
              <w:jc w:val="center"/>
            </w:pPr>
            <w:r/>
            <w:r>
              <w:rPr>
                <w:rFonts w:ascii="Times New Roman" w:hAnsi="Times New Roman"/>
                <w:sz w:val="18"/>
              </w:rPr>
              <w:t>Wang &amp; Zhang (2025) [8]</w:t>
            </w:r>
          </w:p>
        </w:tc>
        <w:tc>
          <w:tcPr>
            <w:tcW w:type="dxa" w:w="1994"/>
          </w:tcPr>
          <w:p>
            <w:pPr>
              <w:jc w:val="center"/>
            </w:pPr>
            <w:r/>
            <w:r>
              <w:rPr>
                <w:rFonts w:ascii="Times New Roman" w:hAnsi="Times New Roman"/>
                <w:sz w:val="18"/>
              </w:rPr>
              <w:t>DenseNet + Segmented</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98,17%</w:t>
            </w:r>
          </w:p>
        </w:tc>
      </w:tr>
      <w:tr>
        <w:tc>
          <w:tcPr>
            <w:tcW w:type="dxa" w:w="1994"/>
          </w:tcPr>
          <w:p>
            <w:pPr>
              <w:jc w:val="center"/>
            </w:pPr>
            <w:r/>
            <w:r>
              <w:rPr>
                <w:rFonts w:ascii="Times New Roman" w:hAnsi="Times New Roman"/>
                <w:sz w:val="18"/>
              </w:rPr>
              <w:t>6</w:t>
            </w:r>
          </w:p>
        </w:tc>
        <w:tc>
          <w:tcPr>
            <w:tcW w:type="dxa" w:w="1994"/>
          </w:tcPr>
          <w:p>
            <w:pPr>
              <w:jc w:val="center"/>
            </w:pPr>
            <w:r/>
            <w:r>
              <w:rPr>
                <w:rFonts w:ascii="Times New Roman" w:hAnsi="Times New Roman"/>
                <w:sz w:val="18"/>
              </w:rPr>
              <w:t>Zhao et al. (2025) [10]</w:t>
            </w:r>
          </w:p>
        </w:tc>
        <w:tc>
          <w:tcPr>
            <w:tcW w:type="dxa" w:w="1994"/>
          </w:tcPr>
          <w:p>
            <w:pPr>
              <w:jc w:val="center"/>
            </w:pPr>
            <w:r/>
            <w:r>
              <w:rPr>
                <w:rFonts w:ascii="Times New Roman" w:hAnsi="Times New Roman"/>
                <w:sz w:val="18"/>
              </w:rPr>
              <w:t>ViT + MoE</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97,2%</w:t>
            </w:r>
          </w:p>
        </w:tc>
      </w:tr>
      <w:tr>
        <w:tc>
          <w:tcPr>
            <w:tcW w:type="dxa" w:w="1994"/>
          </w:tcPr>
          <w:p>
            <w:pPr>
              <w:jc w:val="center"/>
            </w:pPr>
            <w:r/>
            <w:r>
              <w:rPr>
                <w:rFonts w:ascii="Times New Roman" w:hAnsi="Times New Roman"/>
                <w:sz w:val="18"/>
              </w:rPr>
              <w:t>7</w:t>
            </w:r>
          </w:p>
        </w:tc>
        <w:tc>
          <w:tcPr>
            <w:tcW w:type="dxa" w:w="1994"/>
          </w:tcPr>
          <w:p>
            <w:pPr>
              <w:jc w:val="center"/>
            </w:pPr>
            <w:r/>
            <w:r>
              <w:rPr>
                <w:rFonts w:ascii="Times New Roman" w:hAnsi="Times New Roman"/>
                <w:sz w:val="18"/>
              </w:rPr>
              <w:t>Ashurov et al. (2024) [17]</w:t>
            </w:r>
          </w:p>
        </w:tc>
        <w:tc>
          <w:tcPr>
            <w:tcW w:type="dxa" w:w="1994"/>
          </w:tcPr>
          <w:p>
            <w:pPr>
              <w:jc w:val="center"/>
            </w:pPr>
            <w:r/>
            <w:r>
              <w:rPr>
                <w:rFonts w:ascii="Times New Roman" w:hAnsi="Times New Roman"/>
                <w:sz w:val="18"/>
              </w:rPr>
              <w:t>Depthwise CNN + SE</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98,5%</w:t>
            </w:r>
          </w:p>
        </w:tc>
      </w:tr>
      <w:tr>
        <w:tc>
          <w:tcPr>
            <w:tcW w:type="dxa" w:w="1994"/>
          </w:tcPr>
          <w:p>
            <w:pPr>
              <w:jc w:val="center"/>
            </w:pPr>
            <w:r/>
            <w:r>
              <w:rPr>
                <w:rFonts w:ascii="Times New Roman" w:hAnsi="Times New Roman"/>
                <w:sz w:val="18"/>
              </w:rPr>
              <w:t>8</w:t>
            </w:r>
          </w:p>
        </w:tc>
        <w:tc>
          <w:tcPr>
            <w:tcW w:type="dxa" w:w="1994"/>
          </w:tcPr>
          <w:p>
            <w:pPr>
              <w:jc w:val="center"/>
            </w:pPr>
            <w:r/>
            <w:r>
              <w:rPr>
                <w:rFonts w:ascii="Times New Roman" w:hAnsi="Times New Roman"/>
                <w:sz w:val="18"/>
              </w:rPr>
              <w:t>Karim et al. (2024) [18]</w:t>
            </w:r>
          </w:p>
        </w:tc>
        <w:tc>
          <w:tcPr>
            <w:tcW w:type="dxa" w:w="1994"/>
          </w:tcPr>
          <w:p>
            <w:pPr>
              <w:jc w:val="center"/>
            </w:pPr>
            <w:r/>
            <w:r>
              <w:rPr>
                <w:rFonts w:ascii="Times New Roman" w:hAnsi="Times New Roman"/>
                <w:sz w:val="18"/>
              </w:rPr>
              <w:t>CNN Edge Device</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97,8%</w:t>
            </w:r>
          </w:p>
        </w:tc>
      </w:tr>
    </w:tbl>
    <w:p>
      <w:pPr>
        <w:spacing w:before="240" w:after="120"/>
      </w:pPr>
      <w:r>
        <w:rPr>
          <w:rFonts w:ascii="Times New Roman" w:hAnsi="Times New Roman"/>
          <w:b/>
          <w:sz w:val="20"/>
        </w:rPr>
        <w:t>III. METODE PENELITIAN</w:t>
      </w:r>
    </w:p>
    <w:p>
      <w:pPr>
        <w:spacing w:before="120" w:after="60"/>
      </w:pPr>
      <w:r>
        <w:rPr>
          <w:rFonts w:ascii="Times New Roman" w:hAnsi="Times New Roman"/>
          <w:b/>
          <w:i/>
          <w:sz w:val="20"/>
        </w:rPr>
        <w:t>A. Dataset</w:t>
      </w:r>
    </w:p>
    <w:p>
      <w:pPr>
        <w:spacing w:after="60"/>
        <w:ind w:firstLine="567"/>
        <w:jc w:val="both"/>
      </w:pPr>
      <w:r>
        <w:rPr>
          <w:rFonts w:ascii="Times New Roman" w:hAnsi="Times New Roman"/>
          <w:sz w:val="20"/>
        </w:rPr>
        <w:t>Penelitian ini menggunakan dataset PlantVillage yang bersumber dari tensorflow_datasets. Dataset terdiri dari 54.305 citra daun tanaman yang mencakup 14 spesies dengan total 38 kelas (kombinasi jenis tanaman dan kondisi penyakit/sehat). Pembagian data dilakukan secara stratified dengan rasio 80% data latih, 10% data validasi, dan 10% data uji untuk memastikan setiap kelas terwakili secara proporsional [19].</w:t>
      </w:r>
    </w:p>
    <w:p>
      <w:pPr>
        <w:spacing w:before="120" w:after="60"/>
      </w:pPr>
      <w:r>
        <w:rPr>
          <w:rFonts w:ascii="Times New Roman" w:hAnsi="Times New Roman"/>
          <w:b/>
          <w:i/>
          <w:sz w:val="20"/>
        </w:rPr>
        <w:t>B. Praproses Data</w:t>
      </w:r>
    </w:p>
    <w:p>
      <w:pPr>
        <w:spacing w:after="60"/>
        <w:ind w:firstLine="567"/>
        <w:jc w:val="both"/>
      </w:pPr>
      <w:r>
        <w:rPr>
          <w:rFonts w:ascii="Times New Roman" w:hAnsi="Times New Roman"/>
          <w:sz w:val="20"/>
        </w:rPr>
        <w:t>Tahap praproses meliputi: (1) resize citra ke dimensi 140×140 piksel untuk menyeragamkan ukuran input, (2) normalisasi piksel ke rentang [0, 1] dengan membagi nilai piksel dengan 255, (3) konversi ruang warna secara eksplisit ke RGB menggunakan img.convert('RGB') untuk mencegah inkonsistensi format BGR vs RGB [20], (4) caching dataset ke disk menggunakan tf.data.cache() untuk efisiensi RAM, dan (5) batching dan prefetching menggunakan tf.data.AUTOTUNE untuk optimasi pipeline I/O.</w:t>
      </w:r>
    </w:p>
    <w:p>
      <w:pPr>
        <w:spacing w:before="120" w:after="60"/>
      </w:pPr>
      <w:r>
        <w:rPr>
          <w:rFonts w:ascii="Times New Roman" w:hAnsi="Times New Roman"/>
          <w:b/>
          <w:i/>
          <w:sz w:val="20"/>
        </w:rPr>
        <w:t>C. Augmentasi Data</w:t>
      </w:r>
    </w:p>
    <w:p>
      <w:pPr>
        <w:spacing w:after="60"/>
        <w:ind w:firstLine="567"/>
        <w:jc w:val="both"/>
      </w:pPr>
      <w:r>
        <w:rPr>
          <w:rFonts w:ascii="Times New Roman" w:hAnsi="Times New Roman"/>
          <w:sz w:val="20"/>
        </w:rPr>
        <w:t>Augmentasi dilakukan secara online (di dalam arsitektur model) menggunakan layer augmentasi Keras, sehingga tidak memerlukan penyimpanan salinan gambar tambahan ke disk [21][22]. Transformasi yang diterapkan meliputi: RandomFlip (horizontal), RandomRotation (±8%), dan RandomZoom (10%). Pendekatan augmentasi real-time ini terbukti vital dalam mensimulasikan kondisi dunia nyata dan mengatasi masalah imbalanced dataset tanpa memerlukan memori tambahan.</w:t>
      </w:r>
    </w:p>
    <w:p>
      <w:pPr>
        <w:spacing w:before="120" w:after="60"/>
      </w:pPr>
      <w:r>
        <w:rPr>
          <w:rFonts w:ascii="Times New Roman" w:hAnsi="Times New Roman"/>
          <w:b/>
          <w:i/>
          <w:sz w:val="20"/>
        </w:rPr>
        <w:t>D. Arsitektur Model CNN</w:t>
      </w:r>
    </w:p>
    <w:p>
      <w:pPr>
        <w:spacing w:after="60"/>
        <w:ind w:firstLine="567"/>
        <w:jc w:val="both"/>
      </w:pPr>
      <w:r>
        <w:rPr>
          <w:rFonts w:ascii="Times New Roman" w:hAnsi="Times New Roman"/>
          <w:sz w:val="20"/>
        </w:rPr>
        <w:t>Model menggunakan arsitektur sequential CNN empat blok konvolusi yang dirancang secara custom (bukan transfer learning). Setiap blok terdiri dari layer Conv2D dengan kernel 3×3, fungsi aktivasi ReLU, padding same, diikuti oleh MaxPooling2D. Jumlah filter meningkat secara progresif: 32, 64, 128, dan 256. Setelah blok konvolusi terakhir, diterapkan Dropout (0,3) untuk regularisasi, diikuti oleh Flatten, Dense (256 neuron, ReLU), Dropout (0,2), dan Dense (38 neuron, Softmax) sebagai layer output. Model dikompilasi menggunakan optimizer Adam (learning rate = 1×10⁻³), fungsi loss Sparse Categorical Crossentropy, dan metrik akurasi. Total parameter model adalah 13,7 juta (4,5 juta trainable) [23].</w:t>
      </w:r>
    </w:p>
    <w:p>
      <w:pPr>
        <w:spacing w:before="120" w:after="60"/>
      </w:pPr>
      <w:r>
        <w:rPr>
          <w:rFonts w:ascii="Times New Roman" w:hAnsi="Times New Roman"/>
          <w:b/>
          <w:i/>
          <w:sz w:val="20"/>
        </w:rPr>
        <w:t>E. Strategi Pelatihan</w:t>
      </w:r>
    </w:p>
    <w:p>
      <w:pPr>
        <w:spacing w:after="60"/>
        <w:ind w:firstLine="567"/>
        <w:jc w:val="both"/>
      </w:pPr>
      <w:r>
        <w:rPr>
          <w:rFonts w:ascii="Times New Roman" w:hAnsi="Times New Roman"/>
          <w:sz w:val="20"/>
        </w:rPr>
        <w:t>Penelitian ini menerapkan beberapa strategi pelatihan untuk memastikan ketangguhan proses di lingkungan komputasi terbatas: (1) Early Stopping dengan pemantauan val_accuracy, patience 4 epoch, dan restore best weights [17]; (2) ReduceLROnPlateau dengan pemantauan val_loss, faktor reduksi 0,5, dan patience 2 epoch; (3) ModelCheckpoint untuk menyimpan checkpoint terbaik setiap epoch; (4) CSVLogger untuk mencatat riwayat pelatihan secara append guna mendukung resume training; (5) Resume Training otomatis yang mendeteksi checkpoint terakhir dan melanjutkan pelatihan dari epoch tersebut; dan (6) Fallback OOM yang secara otomatis memperkecil batch size (dibagi 2, minimum 8) jika terjadi ResourceExhaustedError [24]. Jumlah epoch maksimum ditetapkan 15 dengan batch size 32 (CPU) atau 64 (GPU).</w:t>
      </w:r>
    </w:p>
    <w:p>
      <w:pPr>
        <w:spacing w:before="120" w:after="60"/>
      </w:pPr>
      <w:r>
        <w:rPr>
          <w:rFonts w:ascii="Times New Roman" w:hAnsi="Times New Roman"/>
          <w:b/>
          <w:i/>
          <w:sz w:val="20"/>
        </w:rPr>
        <w:t>F. Konversi dan Deployment Model</w:t>
      </w:r>
    </w:p>
    <w:p>
      <w:pPr>
        <w:spacing w:after="60"/>
        <w:ind w:firstLine="567"/>
        <w:jc w:val="both"/>
      </w:pPr>
      <w:r>
        <w:rPr>
          <w:rFonts w:ascii="Times New Roman" w:hAnsi="Times New Roman"/>
          <w:sz w:val="20"/>
        </w:rPr>
        <w:t>Model akhir diekspor ke tiga format: (1) SavedModel (format native TensorFlow), (2) TensorFlow Lite (.tflite) dengan optimasi Optimize.DEFAULT dan fallback SELECT_TF_OPS, serta (3) TensorFlow.js (TFJS) untuk potensi deployment berbasis browser [14][15]. Layer augmentasi dihapus dari model sebelum konversi karena beberapa operasi augmentasi tidak didukung oleh runtime TFLite. Antarmuka web dibangun menggunakan framework Gradio dengan fitur unggah citra, klasifikasi Top-5, dan diagnosis otomatis.</w:t>
      </w:r>
    </w:p>
    <w:p>
      <w:pPr>
        <w:spacing w:before="120" w:after="60"/>
      </w:pPr>
      <w:r>
        <w:rPr>
          <w:rFonts w:ascii="Times New Roman" w:hAnsi="Times New Roman"/>
          <w:b/>
          <w:i/>
          <w:sz w:val="20"/>
        </w:rPr>
        <w:t>G. Studi Ablasi: Analisis Domain Shift</w:t>
      </w:r>
    </w:p>
    <w:p>
      <w:pPr>
        <w:spacing w:after="60"/>
        <w:ind w:firstLine="567"/>
        <w:jc w:val="both"/>
      </w:pPr>
      <w:r>
        <w:rPr>
          <w:rFonts w:ascii="Times New Roman" w:hAnsi="Times New Roman"/>
          <w:sz w:val="20"/>
        </w:rPr>
        <w:t>Untuk menganalisis kerentanan model terhadap domain shift, dilakukan studi ablasi menggunakan algoritma segmentasi U-Net dari pustaka rembg sebagai preprocessing tambahan [16]. Eksperimen dilakukan pada 38 sampel citra dari dataset PlantVillage dengan dua skenario: Skenario 1 (CNN Murni) di mana citra asli langsung diklasifikasikan oleh model TFLite, dan Skenario 2 (rembg + CNN) di mana latar belakang citra dihapus menggunakan rembg, diganti dengan warna solid abu-abu (RGB: 180, 180, 180), kemudian diklasifikasikan oleh model TFLite yang sama.</w:t>
      </w:r>
    </w:p>
    <w:p>
      <w:pPr>
        <w:spacing w:before="240" w:after="120"/>
      </w:pPr>
      <w:r>
        <w:rPr>
          <w:rFonts w:ascii="Times New Roman" w:hAnsi="Times New Roman"/>
          <w:b/>
          <w:sz w:val="20"/>
        </w:rPr>
        <w:t>IV. HASIL DAN PEMBAHASAN</w:t>
      </w:r>
    </w:p>
    <w:p>
      <w:pPr>
        <w:spacing w:before="120" w:after="60"/>
      </w:pPr>
      <w:r>
        <w:rPr>
          <w:rFonts w:ascii="Times New Roman" w:hAnsi="Times New Roman"/>
          <w:b/>
          <w:i/>
          <w:sz w:val="20"/>
        </w:rPr>
        <w:t>A. Hasil Pelatihan Model</w:t>
      </w:r>
    </w:p>
    <w:p>
      <w:pPr>
        <w:spacing w:after="60"/>
        <w:ind w:firstLine="567"/>
        <w:jc w:val="both"/>
      </w:pPr>
      <w:r>
        <w:rPr>
          <w:rFonts w:ascii="Times New Roman" w:hAnsi="Times New Roman"/>
          <w:sz w:val="20"/>
        </w:rPr>
        <w:t>Model CNN empat blok konvolusi berhasil dilatih selama 15 epoch dengan konvergensi yang stabil. Kurva pelatihan menunjukkan peningkatan akurasi yang konsisten tanpa indikasi overfitting yang signifikan, sebagaimana dibuktikan oleh selisih yang kecil antara akurasi latih (98,47%) dan akurasi validasi (97,10%). Ringkasan hasil evaluasi model ditampilkan pada Tabel 2.</w:t>
      </w:r>
    </w:p>
    <w:p>
      <w:pPr>
        <w:spacing w:before="120" w:after="60"/>
        <w:jc w:val="center"/>
      </w:pPr>
      <w:r>
        <w:rPr>
          <w:rFonts w:ascii="Times New Roman" w:hAnsi="Times New Roman"/>
          <w:b/>
          <w:sz w:val="18"/>
        </w:rPr>
        <w:t>Tabel 2. Hasil Evaluasi Model CNN</w:t>
      </w:r>
    </w:p>
    <w:tbl>
      <w:tblPr>
        <w:tblStyle w:val="TableGrid"/>
        <w:tblW w:type="auto" w:w="0"/>
        <w:jc w:val="center"/>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18"/>
              </w:rPr>
              <w:t>Metrik</w:t>
            </w:r>
          </w:p>
        </w:tc>
        <w:tc>
          <w:tcPr>
            <w:tcW w:type="dxa" w:w="4986"/>
          </w:tcPr>
          <w:p>
            <w:pPr>
              <w:jc w:val="center"/>
            </w:pPr>
            <w:r/>
            <w:r>
              <w:rPr>
                <w:rFonts w:ascii="Times New Roman" w:hAnsi="Times New Roman"/>
                <w:b/>
                <w:sz w:val="18"/>
              </w:rPr>
              <w:t>Nilai</w:t>
            </w:r>
          </w:p>
        </w:tc>
      </w:tr>
      <w:tr>
        <w:tc>
          <w:tcPr>
            <w:tcW w:type="dxa" w:w="4986"/>
          </w:tcPr>
          <w:p>
            <w:pPr>
              <w:jc w:val="center"/>
            </w:pPr>
            <w:r/>
            <w:r>
              <w:rPr>
                <w:rFonts w:ascii="Times New Roman" w:hAnsi="Times New Roman"/>
                <w:sz w:val="18"/>
              </w:rPr>
              <w:t>Akurasi Data Latih</w:t>
            </w:r>
          </w:p>
        </w:tc>
        <w:tc>
          <w:tcPr>
            <w:tcW w:type="dxa" w:w="4986"/>
          </w:tcPr>
          <w:p>
            <w:pPr>
              <w:jc w:val="center"/>
            </w:pPr>
            <w:r/>
            <w:r>
              <w:rPr>
                <w:rFonts w:ascii="Times New Roman" w:hAnsi="Times New Roman"/>
                <w:sz w:val="18"/>
              </w:rPr>
              <w:t>98,47%</w:t>
            </w:r>
          </w:p>
        </w:tc>
      </w:tr>
      <w:tr>
        <w:tc>
          <w:tcPr>
            <w:tcW w:type="dxa" w:w="4986"/>
          </w:tcPr>
          <w:p>
            <w:pPr>
              <w:jc w:val="center"/>
            </w:pPr>
            <w:r/>
            <w:r>
              <w:rPr>
                <w:rFonts w:ascii="Times New Roman" w:hAnsi="Times New Roman"/>
                <w:sz w:val="18"/>
              </w:rPr>
              <w:t>Akurasi Data Validasi</w:t>
            </w:r>
          </w:p>
        </w:tc>
        <w:tc>
          <w:tcPr>
            <w:tcW w:type="dxa" w:w="4986"/>
          </w:tcPr>
          <w:p>
            <w:pPr>
              <w:jc w:val="center"/>
            </w:pPr>
            <w:r/>
            <w:r>
              <w:rPr>
                <w:rFonts w:ascii="Times New Roman" w:hAnsi="Times New Roman"/>
                <w:sz w:val="18"/>
              </w:rPr>
              <w:t>97,10%</w:t>
            </w:r>
          </w:p>
        </w:tc>
      </w:tr>
      <w:tr>
        <w:tc>
          <w:tcPr>
            <w:tcW w:type="dxa" w:w="4986"/>
          </w:tcPr>
          <w:p>
            <w:pPr>
              <w:jc w:val="center"/>
            </w:pPr>
            <w:r/>
            <w:r>
              <w:rPr>
                <w:rFonts w:ascii="Times New Roman" w:hAnsi="Times New Roman"/>
                <w:sz w:val="18"/>
              </w:rPr>
              <w:t>Akurasi Data Uji</w:t>
            </w:r>
          </w:p>
        </w:tc>
        <w:tc>
          <w:tcPr>
            <w:tcW w:type="dxa" w:w="4986"/>
          </w:tcPr>
          <w:p>
            <w:pPr>
              <w:jc w:val="center"/>
            </w:pPr>
            <w:r/>
            <w:r>
              <w:rPr>
                <w:rFonts w:ascii="Times New Roman" w:hAnsi="Times New Roman"/>
                <w:sz w:val="18"/>
              </w:rPr>
              <w:t>97,12%</w:t>
            </w:r>
          </w:p>
        </w:tc>
      </w:tr>
      <w:tr>
        <w:tc>
          <w:tcPr>
            <w:tcW w:type="dxa" w:w="4986"/>
          </w:tcPr>
          <w:p>
            <w:pPr>
              <w:jc w:val="center"/>
            </w:pPr>
            <w:r/>
            <w:r>
              <w:rPr>
                <w:rFonts w:ascii="Times New Roman" w:hAnsi="Times New Roman"/>
                <w:sz w:val="18"/>
              </w:rPr>
              <w:t>Ukuran Model Keras (.keras)</w:t>
            </w:r>
          </w:p>
        </w:tc>
        <w:tc>
          <w:tcPr>
            <w:tcW w:type="dxa" w:w="4986"/>
          </w:tcPr>
          <w:p>
            <w:pPr>
              <w:jc w:val="center"/>
            </w:pPr>
            <w:r/>
            <w:r>
              <w:rPr>
                <w:rFonts w:ascii="Times New Roman" w:hAnsi="Times New Roman"/>
                <w:sz w:val="18"/>
              </w:rPr>
              <w:t>55 MB</w:t>
            </w:r>
          </w:p>
        </w:tc>
      </w:tr>
      <w:tr>
        <w:tc>
          <w:tcPr>
            <w:tcW w:type="dxa" w:w="4986"/>
          </w:tcPr>
          <w:p>
            <w:pPr>
              <w:jc w:val="center"/>
            </w:pPr>
            <w:r/>
            <w:r>
              <w:rPr>
                <w:rFonts w:ascii="Times New Roman" w:hAnsi="Times New Roman"/>
                <w:sz w:val="18"/>
              </w:rPr>
              <w:t>Ukuran Model TFLite (.tflite)</w:t>
            </w:r>
          </w:p>
        </w:tc>
        <w:tc>
          <w:tcPr>
            <w:tcW w:type="dxa" w:w="4986"/>
          </w:tcPr>
          <w:p>
            <w:pPr>
              <w:jc w:val="center"/>
            </w:pPr>
            <w:r/>
            <w:r>
              <w:rPr>
                <w:rFonts w:ascii="Times New Roman" w:hAnsi="Times New Roman"/>
                <w:sz w:val="18"/>
              </w:rPr>
              <w:t>4,4 MB</w:t>
            </w:r>
          </w:p>
        </w:tc>
      </w:tr>
      <w:tr>
        <w:tc>
          <w:tcPr>
            <w:tcW w:type="dxa" w:w="4986"/>
          </w:tcPr>
          <w:p>
            <w:pPr>
              <w:jc w:val="center"/>
            </w:pPr>
            <w:r/>
            <w:r>
              <w:rPr>
                <w:rFonts w:ascii="Times New Roman" w:hAnsi="Times New Roman"/>
                <w:sz w:val="18"/>
              </w:rPr>
              <w:t>Waktu Inferensi (CPU)</w:t>
            </w:r>
          </w:p>
        </w:tc>
        <w:tc>
          <w:tcPr>
            <w:tcW w:type="dxa" w:w="4986"/>
          </w:tcPr>
          <w:p>
            <w:pPr>
              <w:jc w:val="center"/>
            </w:pPr>
            <w:r/>
            <w:r>
              <w:rPr>
                <w:rFonts w:ascii="Times New Roman" w:hAnsi="Times New Roman"/>
                <w:sz w:val="18"/>
              </w:rPr>
              <w:t>~6 ms/citra</w:t>
            </w:r>
          </w:p>
        </w:tc>
      </w:tr>
      <w:tr>
        <w:tc>
          <w:tcPr>
            <w:tcW w:type="dxa" w:w="4986"/>
          </w:tcPr>
          <w:p>
            <w:pPr>
              <w:jc w:val="center"/>
            </w:pPr>
            <w:r/>
            <w:r>
              <w:rPr>
                <w:rFonts w:ascii="Times New Roman" w:hAnsi="Times New Roman"/>
                <w:sz w:val="18"/>
              </w:rPr>
              <w:t>Total Parameter</w:t>
            </w:r>
          </w:p>
        </w:tc>
        <w:tc>
          <w:tcPr>
            <w:tcW w:type="dxa" w:w="4986"/>
          </w:tcPr>
          <w:p>
            <w:pPr>
              <w:jc w:val="center"/>
            </w:pPr>
            <w:r/>
            <w:r>
              <w:rPr>
                <w:rFonts w:ascii="Times New Roman" w:hAnsi="Times New Roman"/>
                <w:sz w:val="18"/>
              </w:rPr>
              <w:t>13.700.000</w:t>
            </w:r>
          </w:p>
        </w:tc>
      </w:tr>
      <w:tr>
        <w:tc>
          <w:tcPr>
            <w:tcW w:type="dxa" w:w="4986"/>
          </w:tcPr>
          <w:p>
            <w:pPr>
              <w:jc w:val="center"/>
            </w:pPr>
            <w:r/>
            <w:r>
              <w:rPr>
                <w:rFonts w:ascii="Times New Roman" w:hAnsi="Times New Roman"/>
                <w:sz w:val="18"/>
              </w:rPr>
              <w:t>Parameter Trainable</w:t>
            </w:r>
          </w:p>
        </w:tc>
        <w:tc>
          <w:tcPr>
            <w:tcW w:type="dxa" w:w="4986"/>
          </w:tcPr>
          <w:p>
            <w:pPr>
              <w:jc w:val="center"/>
            </w:pPr>
            <w:r/>
            <w:r>
              <w:rPr>
                <w:rFonts w:ascii="Times New Roman" w:hAnsi="Times New Roman"/>
                <w:sz w:val="18"/>
              </w:rPr>
              <w:t>4.500.000</w:t>
            </w:r>
          </w:p>
        </w:tc>
      </w:tr>
    </w:tbl>
    <w:p>
      <w:pPr>
        <w:spacing w:after="60"/>
        <w:ind w:firstLine="567"/>
        <w:jc w:val="both"/>
      </w:pPr>
      <w:r>
        <w:rPr>
          <w:rFonts w:ascii="Times New Roman" w:hAnsi="Times New Roman"/>
          <w:sz w:val="20"/>
        </w:rPr>
        <w:t>Akurasi uji sebesar 97,12% melampaui target minimum yang ditetapkan (85%) dan kompetitif dibandingkan dengan penelitian terdahulu yang menggunakan arsitektur jauh lebih kompleks [3][5]. Reduksi ukuran model dari 55 MB (Keras) menjadi 4,4 MB (TFLite) sebesar 92% menunjukkan efektivitas kuantisasi untuk deployment pada perangkat edge [14].</w:t>
      </w:r>
    </w:p>
    <w:p>
      <w:pPr>
        <w:spacing w:before="120" w:after="60"/>
      </w:pPr>
      <w:r>
        <w:rPr>
          <w:rFonts w:ascii="Times New Roman" w:hAnsi="Times New Roman"/>
          <w:b/>
          <w:i/>
          <w:sz w:val="20"/>
        </w:rPr>
        <w:t>B. Perbandingan dengan Penelitian Terdahulu</w:t>
      </w:r>
    </w:p>
    <w:p>
      <w:pPr>
        <w:spacing w:after="60"/>
        <w:ind w:firstLine="567"/>
        <w:jc w:val="both"/>
      </w:pPr>
      <w:r>
        <w:rPr>
          <w:rFonts w:ascii="Times New Roman" w:hAnsi="Times New Roman"/>
          <w:sz w:val="20"/>
        </w:rPr>
        <w:t>Tabel 3 menyajikan perbandingan performa model yang diusulkan dengan studi terdahulu. Meskipun akurasi model sedikit lebih rendah dibandingkan arsitektur state-of-the-art seperti CNN-SE Block (99,79%) [3] dan MobileNetV2 (99,47%) [5], model ini menawarkan keunggulan dalam hal kesederhanaan arsitektur, kemudahan reproduksi, dan ukuran model TFLite yang sangat ringan (4,4 MB) untuk deployment pada perangkat terbatas.</w:t>
      </w:r>
    </w:p>
    <w:p>
      <w:pPr>
        <w:spacing w:before="120" w:after="60"/>
        <w:jc w:val="center"/>
      </w:pPr>
      <w:r>
        <w:rPr>
          <w:rFonts w:ascii="Times New Roman" w:hAnsi="Times New Roman"/>
          <w:b/>
          <w:sz w:val="18"/>
        </w:rPr>
        <w:t>Tabel 3. Perbandingan Performa dengan Studi Terdahulu</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Times New Roman" w:hAnsi="Times New Roman"/>
                <w:b/>
                <w:sz w:val="18"/>
              </w:rPr>
              <w:t>Peneliti</w:t>
            </w:r>
          </w:p>
        </w:tc>
        <w:tc>
          <w:tcPr>
            <w:tcW w:type="dxa" w:w="1994"/>
          </w:tcPr>
          <w:p>
            <w:pPr>
              <w:jc w:val="center"/>
            </w:pPr>
            <w:r/>
            <w:r>
              <w:rPr>
                <w:rFonts w:ascii="Times New Roman" w:hAnsi="Times New Roman"/>
                <w:b/>
                <w:sz w:val="18"/>
              </w:rPr>
              <w:t>Arsitektur</w:t>
            </w:r>
          </w:p>
        </w:tc>
        <w:tc>
          <w:tcPr>
            <w:tcW w:type="dxa" w:w="1994"/>
          </w:tcPr>
          <w:p>
            <w:pPr>
              <w:jc w:val="center"/>
            </w:pPr>
            <w:r/>
            <w:r>
              <w:rPr>
                <w:rFonts w:ascii="Times New Roman" w:hAnsi="Times New Roman"/>
                <w:b/>
                <w:sz w:val="18"/>
              </w:rPr>
              <w:t>Parameter</w:t>
            </w:r>
          </w:p>
        </w:tc>
        <w:tc>
          <w:tcPr>
            <w:tcW w:type="dxa" w:w="1994"/>
          </w:tcPr>
          <w:p>
            <w:pPr>
              <w:jc w:val="center"/>
            </w:pPr>
            <w:r/>
            <w:r>
              <w:rPr>
                <w:rFonts w:ascii="Times New Roman" w:hAnsi="Times New Roman"/>
                <w:b/>
                <w:sz w:val="18"/>
              </w:rPr>
              <w:t>Ukuran</w:t>
            </w:r>
          </w:p>
        </w:tc>
        <w:tc>
          <w:tcPr>
            <w:tcW w:type="dxa" w:w="1994"/>
          </w:tcPr>
          <w:p>
            <w:pPr>
              <w:jc w:val="center"/>
            </w:pPr>
            <w:r/>
            <w:r>
              <w:rPr>
                <w:rFonts w:ascii="Times New Roman" w:hAnsi="Times New Roman"/>
                <w:b/>
                <w:sz w:val="18"/>
              </w:rPr>
              <w:t>Akurasi</w:t>
            </w:r>
          </w:p>
        </w:tc>
      </w:tr>
      <w:tr>
        <w:tc>
          <w:tcPr>
            <w:tcW w:type="dxa" w:w="1994"/>
          </w:tcPr>
          <w:p>
            <w:pPr>
              <w:jc w:val="center"/>
            </w:pPr>
            <w:r/>
            <w:r>
              <w:rPr>
                <w:rFonts w:ascii="Times New Roman" w:hAnsi="Times New Roman"/>
                <w:sz w:val="18"/>
              </w:rPr>
              <w:t>Chen et al. [3]</w:t>
            </w:r>
          </w:p>
        </w:tc>
        <w:tc>
          <w:tcPr>
            <w:tcW w:type="dxa" w:w="1994"/>
          </w:tcPr>
          <w:p>
            <w:pPr>
              <w:jc w:val="center"/>
            </w:pPr>
            <w:r/>
            <w:r>
              <w:rPr>
                <w:rFonts w:ascii="Times New Roman" w:hAnsi="Times New Roman"/>
                <w:sz w:val="18"/>
              </w:rPr>
              <w:t>CNN + SE Block</w:t>
            </w:r>
          </w:p>
        </w:tc>
        <w:tc>
          <w:tcPr>
            <w:tcW w:type="dxa" w:w="1994"/>
          </w:tcPr>
          <w:p>
            <w:pPr>
              <w:jc w:val="center"/>
            </w:pPr>
            <w:r/>
            <w:r>
              <w:rPr>
                <w:rFonts w:ascii="Times New Roman" w:hAnsi="Times New Roman"/>
                <w:sz w:val="18"/>
              </w:rPr>
              <w:t>&gt;20 juta</w:t>
            </w:r>
          </w:p>
        </w:tc>
        <w:tc>
          <w:tcPr>
            <w:tcW w:type="dxa" w:w="1994"/>
          </w:tcPr>
          <w:p>
            <w:pPr>
              <w:jc w:val="center"/>
            </w:pPr>
            <w:r/>
            <w:r>
              <w:rPr>
                <w:rFonts w:ascii="Times New Roman" w:hAnsi="Times New Roman"/>
                <w:sz w:val="18"/>
              </w:rPr>
              <w:t>~80 MB</w:t>
            </w:r>
          </w:p>
        </w:tc>
        <w:tc>
          <w:tcPr>
            <w:tcW w:type="dxa" w:w="1994"/>
          </w:tcPr>
          <w:p>
            <w:pPr>
              <w:jc w:val="center"/>
            </w:pPr>
            <w:r/>
            <w:r>
              <w:rPr>
                <w:rFonts w:ascii="Times New Roman" w:hAnsi="Times New Roman"/>
                <w:sz w:val="18"/>
              </w:rPr>
              <w:t>99,79%</w:t>
            </w:r>
          </w:p>
        </w:tc>
      </w:tr>
      <w:tr>
        <w:tc>
          <w:tcPr>
            <w:tcW w:type="dxa" w:w="1994"/>
          </w:tcPr>
          <w:p>
            <w:pPr>
              <w:jc w:val="center"/>
            </w:pPr>
            <w:r/>
            <w:r>
              <w:rPr>
                <w:rFonts w:ascii="Times New Roman" w:hAnsi="Times New Roman"/>
                <w:sz w:val="18"/>
              </w:rPr>
              <w:t>Kumar &amp; Singh [5]</w:t>
            </w:r>
          </w:p>
        </w:tc>
        <w:tc>
          <w:tcPr>
            <w:tcW w:type="dxa" w:w="1994"/>
          </w:tcPr>
          <w:p>
            <w:pPr>
              <w:jc w:val="center"/>
            </w:pPr>
            <w:r/>
            <w:r>
              <w:rPr>
                <w:rFonts w:ascii="Times New Roman" w:hAnsi="Times New Roman"/>
                <w:sz w:val="18"/>
              </w:rPr>
              <w:t>MobileNetV2</w:t>
            </w:r>
          </w:p>
        </w:tc>
        <w:tc>
          <w:tcPr>
            <w:tcW w:type="dxa" w:w="1994"/>
          </w:tcPr>
          <w:p>
            <w:pPr>
              <w:jc w:val="center"/>
            </w:pPr>
            <w:r/>
            <w:r>
              <w:rPr>
                <w:rFonts w:ascii="Times New Roman" w:hAnsi="Times New Roman"/>
                <w:sz w:val="18"/>
              </w:rPr>
              <w:t>3,51 juta</w:t>
            </w:r>
          </w:p>
        </w:tc>
        <w:tc>
          <w:tcPr>
            <w:tcW w:type="dxa" w:w="1994"/>
          </w:tcPr>
          <w:p>
            <w:pPr>
              <w:jc w:val="center"/>
            </w:pPr>
            <w:r/>
            <w:r>
              <w:rPr>
                <w:rFonts w:ascii="Times New Roman" w:hAnsi="Times New Roman"/>
                <w:sz w:val="18"/>
              </w:rPr>
              <w:t>~14 MB</w:t>
            </w:r>
          </w:p>
        </w:tc>
        <w:tc>
          <w:tcPr>
            <w:tcW w:type="dxa" w:w="1994"/>
          </w:tcPr>
          <w:p>
            <w:pPr>
              <w:jc w:val="center"/>
            </w:pPr>
            <w:r/>
            <w:r>
              <w:rPr>
                <w:rFonts w:ascii="Times New Roman" w:hAnsi="Times New Roman"/>
                <w:sz w:val="18"/>
              </w:rPr>
              <w:t>99,47%</w:t>
            </w:r>
          </w:p>
        </w:tc>
      </w:tr>
      <w:tr>
        <w:tc>
          <w:tcPr>
            <w:tcW w:type="dxa" w:w="1994"/>
          </w:tcPr>
          <w:p>
            <w:pPr>
              <w:jc w:val="center"/>
            </w:pPr>
            <w:r/>
            <w:r>
              <w:rPr>
                <w:rFonts w:ascii="Times New Roman" w:hAnsi="Times New Roman"/>
                <w:sz w:val="18"/>
              </w:rPr>
              <w:t>Li et al. [6]</w:t>
            </w:r>
          </w:p>
        </w:tc>
        <w:tc>
          <w:tcPr>
            <w:tcW w:type="dxa" w:w="1994"/>
          </w:tcPr>
          <w:p>
            <w:pPr>
              <w:jc w:val="center"/>
            </w:pPr>
            <w:r/>
            <w:r>
              <w:rPr>
                <w:rFonts w:ascii="Times New Roman" w:hAnsi="Times New Roman"/>
                <w:sz w:val="18"/>
              </w:rPr>
              <w:t>USENet</w:t>
            </w:r>
          </w:p>
        </w:tc>
        <w:tc>
          <w:tcPr>
            <w:tcW w:type="dxa" w:w="1994"/>
          </w:tcPr>
          <w:p>
            <w:pPr>
              <w:jc w:val="center"/>
            </w:pPr>
            <w:r/>
            <w:r>
              <w:rPr>
                <w:rFonts w:ascii="Times New Roman" w:hAnsi="Times New Roman"/>
                <w:sz w:val="18"/>
              </w:rPr>
              <w:t>~41 ribu</w:t>
            </w:r>
          </w:p>
        </w:tc>
        <w:tc>
          <w:tcPr>
            <w:tcW w:type="dxa" w:w="1994"/>
          </w:tcPr>
          <w:p>
            <w:pPr>
              <w:jc w:val="center"/>
            </w:pPr>
            <w:r/>
            <w:r>
              <w:rPr>
                <w:rFonts w:ascii="Times New Roman" w:hAnsi="Times New Roman"/>
                <w:sz w:val="18"/>
              </w:rPr>
              <w:t>~0,5 MB</w:t>
            </w:r>
          </w:p>
        </w:tc>
        <w:tc>
          <w:tcPr>
            <w:tcW w:type="dxa" w:w="1994"/>
          </w:tcPr>
          <w:p>
            <w:pPr>
              <w:jc w:val="center"/>
            </w:pPr>
            <w:r/>
            <w:r>
              <w:rPr>
                <w:rFonts w:ascii="Times New Roman" w:hAnsi="Times New Roman"/>
                <w:sz w:val="18"/>
              </w:rPr>
              <w:t>F1: 0,993</w:t>
            </w:r>
          </w:p>
        </w:tc>
      </w:tr>
      <w:tr>
        <w:tc>
          <w:tcPr>
            <w:tcW w:type="dxa" w:w="1994"/>
          </w:tcPr>
          <w:p>
            <w:pPr>
              <w:jc w:val="center"/>
            </w:pPr>
            <w:r/>
            <w:r>
              <w:rPr>
                <w:rFonts w:ascii="Times New Roman" w:hAnsi="Times New Roman"/>
                <w:sz w:val="18"/>
              </w:rPr>
              <w:t>Penelitian ini</w:t>
            </w:r>
          </w:p>
        </w:tc>
        <w:tc>
          <w:tcPr>
            <w:tcW w:type="dxa" w:w="1994"/>
          </w:tcPr>
          <w:p>
            <w:pPr>
              <w:jc w:val="center"/>
            </w:pPr>
            <w:r/>
            <w:r>
              <w:rPr>
                <w:rFonts w:ascii="Times New Roman" w:hAnsi="Times New Roman"/>
                <w:sz w:val="18"/>
              </w:rPr>
              <w:t>CNN 4-Blok</w:t>
            </w:r>
          </w:p>
        </w:tc>
        <w:tc>
          <w:tcPr>
            <w:tcW w:type="dxa" w:w="1994"/>
          </w:tcPr>
          <w:p>
            <w:pPr>
              <w:jc w:val="center"/>
            </w:pPr>
            <w:r/>
            <w:r>
              <w:rPr>
                <w:rFonts w:ascii="Times New Roman" w:hAnsi="Times New Roman"/>
                <w:sz w:val="18"/>
              </w:rPr>
              <w:t>4,5 juta</w:t>
            </w:r>
          </w:p>
        </w:tc>
        <w:tc>
          <w:tcPr>
            <w:tcW w:type="dxa" w:w="1994"/>
          </w:tcPr>
          <w:p>
            <w:pPr>
              <w:jc w:val="center"/>
            </w:pPr>
            <w:r/>
            <w:r>
              <w:rPr>
                <w:rFonts w:ascii="Times New Roman" w:hAnsi="Times New Roman"/>
                <w:sz w:val="18"/>
              </w:rPr>
              <w:t>4,4 MB</w:t>
            </w:r>
          </w:p>
        </w:tc>
        <w:tc>
          <w:tcPr>
            <w:tcW w:type="dxa" w:w="1994"/>
          </w:tcPr>
          <w:p>
            <w:pPr>
              <w:jc w:val="center"/>
            </w:pPr>
            <w:r/>
            <w:r>
              <w:rPr>
                <w:rFonts w:ascii="Times New Roman" w:hAnsi="Times New Roman"/>
                <w:sz w:val="18"/>
              </w:rPr>
              <w:t>97,12%</w:t>
            </w:r>
          </w:p>
        </w:tc>
      </w:tr>
    </w:tbl>
    <w:p>
      <w:pPr>
        <w:spacing w:before="120" w:after="60"/>
      </w:pPr>
      <w:r>
        <w:rPr>
          <w:rFonts w:ascii="Times New Roman" w:hAnsi="Times New Roman"/>
          <w:b/>
          <w:i/>
          <w:sz w:val="20"/>
        </w:rPr>
        <w:t>C. Hasil Studi Ablasi</w:t>
      </w:r>
    </w:p>
    <w:p>
      <w:pPr>
        <w:spacing w:after="60"/>
        <w:ind w:firstLine="567"/>
        <w:jc w:val="both"/>
      </w:pPr>
      <w:r>
        <w:rPr>
          <w:rFonts w:ascii="Times New Roman" w:hAnsi="Times New Roman"/>
          <w:sz w:val="20"/>
        </w:rPr>
        <w:t>Hasil studi ablasi yang membandingkan prediksi CNN murni dengan pipeline rembg + CNN pada 38 sampel citra in-vitro PlantVillage menghasilkan temuan yang sangat signifikan. Dari 38 sampel, CNN murni berhasil mengklasifikasikan seluruh citra dengan benar (akurasi 100% pada data asli PlantVillage). Namun, setelah latar belakang dihapus menggunakan rembg dan diganti dengan warna solid abu-abu, 10 dari 38 sampel (26,3%) mengalami misklasifikasi, sementara beberapa citra yang tetap benar menunjukkan penurunan tingkat kepercayaan yang signifikan. Tabel 4 menampilkan sampel representatif dari hasil studi ablasi.</w:t>
      </w:r>
    </w:p>
    <w:p>
      <w:pPr>
        <w:spacing w:before="120" w:after="60"/>
        <w:jc w:val="center"/>
      </w:pPr>
      <w:r>
        <w:rPr>
          <w:rFonts w:ascii="Times New Roman" w:hAnsi="Times New Roman"/>
          <w:b/>
          <w:sz w:val="18"/>
        </w:rPr>
        <w:t>Tabel 4. Hasil Studi Ablasi (Sampel Representatif)</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Times New Roman" w:hAnsi="Times New Roman"/>
                <w:b/>
                <w:sz w:val="18"/>
              </w:rPr>
              <w:t>Citra</w:t>
            </w:r>
          </w:p>
        </w:tc>
        <w:tc>
          <w:tcPr>
            <w:tcW w:type="dxa" w:w="1662"/>
          </w:tcPr>
          <w:p>
            <w:pPr>
              <w:jc w:val="center"/>
            </w:pPr>
            <w:r/>
            <w:r>
              <w:rPr>
                <w:rFonts w:ascii="Times New Roman" w:hAnsi="Times New Roman"/>
                <w:b/>
                <w:sz w:val="18"/>
              </w:rPr>
              <w:t>CNN Murni</w:t>
            </w:r>
          </w:p>
        </w:tc>
        <w:tc>
          <w:tcPr>
            <w:tcW w:type="dxa" w:w="1662"/>
          </w:tcPr>
          <w:p>
            <w:pPr>
              <w:jc w:val="center"/>
            </w:pPr>
            <w:r/>
            <w:r>
              <w:rPr>
                <w:rFonts w:ascii="Times New Roman" w:hAnsi="Times New Roman"/>
                <w:b/>
                <w:sz w:val="18"/>
              </w:rPr>
              <w:t>Conf.</w:t>
            </w:r>
          </w:p>
        </w:tc>
        <w:tc>
          <w:tcPr>
            <w:tcW w:type="dxa" w:w="1662"/>
          </w:tcPr>
          <w:p>
            <w:pPr>
              <w:jc w:val="center"/>
            </w:pPr>
            <w:r/>
            <w:r>
              <w:rPr>
                <w:rFonts w:ascii="Times New Roman" w:hAnsi="Times New Roman"/>
                <w:b/>
                <w:sz w:val="18"/>
              </w:rPr>
              <w:t>rembg+CNN</w:t>
            </w:r>
          </w:p>
        </w:tc>
        <w:tc>
          <w:tcPr>
            <w:tcW w:type="dxa" w:w="1662"/>
          </w:tcPr>
          <w:p>
            <w:pPr>
              <w:jc w:val="center"/>
            </w:pPr>
            <w:r/>
            <w:r>
              <w:rPr>
                <w:rFonts w:ascii="Times New Roman" w:hAnsi="Times New Roman"/>
                <w:b/>
                <w:sz w:val="18"/>
              </w:rPr>
              <w:t>Conf.</w:t>
            </w:r>
          </w:p>
        </w:tc>
        <w:tc>
          <w:tcPr>
            <w:tcW w:type="dxa" w:w="1662"/>
          </w:tcPr>
          <w:p>
            <w:pPr>
              <w:jc w:val="center"/>
            </w:pPr>
            <w:r/>
            <w:r>
              <w:rPr>
                <w:rFonts w:ascii="Times New Roman" w:hAnsi="Times New Roman"/>
                <w:b/>
                <w:sz w:val="18"/>
              </w:rPr>
              <w:t>Status</w:t>
            </w:r>
          </w:p>
        </w:tc>
      </w:tr>
      <w:tr>
        <w:tc>
          <w:tcPr>
            <w:tcW w:type="dxa" w:w="1662"/>
          </w:tcPr>
          <w:p>
            <w:pPr>
              <w:jc w:val="center"/>
            </w:pPr>
            <w:r/>
            <w:r>
              <w:rPr>
                <w:rFonts w:ascii="Times New Roman" w:hAnsi="Times New Roman"/>
                <w:sz w:val="18"/>
              </w:rPr>
              <w:t>Apple_healthy</w:t>
            </w:r>
          </w:p>
        </w:tc>
        <w:tc>
          <w:tcPr>
            <w:tcW w:type="dxa" w:w="1662"/>
          </w:tcPr>
          <w:p>
            <w:pPr>
              <w:jc w:val="center"/>
            </w:pPr>
            <w:r/>
            <w:r>
              <w:rPr>
                <w:rFonts w:ascii="Times New Roman" w:hAnsi="Times New Roman"/>
                <w:sz w:val="18"/>
              </w:rPr>
              <w:t>Class_3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Class_24 (✗)</w:t>
            </w:r>
          </w:p>
        </w:tc>
        <w:tc>
          <w:tcPr>
            <w:tcW w:type="dxa" w:w="1662"/>
          </w:tcPr>
          <w:p>
            <w:pPr>
              <w:jc w:val="center"/>
            </w:pPr>
            <w:r/>
            <w:r>
              <w:rPr>
                <w:rFonts w:ascii="Times New Roman" w:hAnsi="Times New Roman"/>
                <w:sz w:val="18"/>
              </w:rPr>
              <w:t>74,8%</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Apple_scab</w:t>
            </w:r>
          </w:p>
        </w:tc>
        <w:tc>
          <w:tcPr>
            <w:tcW w:type="dxa" w:w="1662"/>
          </w:tcPr>
          <w:p>
            <w:pPr>
              <w:jc w:val="center"/>
            </w:pPr>
            <w:r/>
            <w:r>
              <w:rPr>
                <w:rFonts w:ascii="Times New Roman" w:hAnsi="Times New Roman"/>
                <w:sz w:val="18"/>
              </w:rPr>
              <w:t>Class_0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Class_13 (✗)</w:t>
            </w:r>
          </w:p>
        </w:tc>
        <w:tc>
          <w:tcPr>
            <w:tcW w:type="dxa" w:w="1662"/>
          </w:tcPr>
          <w:p>
            <w:pPr>
              <w:jc w:val="center"/>
            </w:pPr>
            <w:r/>
            <w:r>
              <w:rPr>
                <w:rFonts w:ascii="Times New Roman" w:hAnsi="Times New Roman"/>
                <w:sz w:val="18"/>
              </w:rPr>
              <w:t>59,5%</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Tomato_Bact.</w:t>
            </w:r>
          </w:p>
        </w:tc>
        <w:tc>
          <w:tcPr>
            <w:tcW w:type="dxa" w:w="1662"/>
          </w:tcPr>
          <w:p>
            <w:pPr>
              <w:jc w:val="center"/>
            </w:pPr>
            <w:r/>
            <w:r>
              <w:rPr>
                <w:rFonts w:ascii="Times New Roman" w:hAnsi="Times New Roman"/>
                <w:sz w:val="18"/>
              </w:rPr>
              <w:t>Class_28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Class_28 (✓)</w:t>
            </w:r>
          </w:p>
        </w:tc>
        <w:tc>
          <w:tcPr>
            <w:tcW w:type="dxa" w:w="1662"/>
          </w:tcPr>
          <w:p>
            <w:pPr>
              <w:jc w:val="center"/>
            </w:pPr>
            <w:r/>
            <w:r>
              <w:rPr>
                <w:rFonts w:ascii="Times New Roman" w:hAnsi="Times New Roman"/>
                <w:sz w:val="18"/>
              </w:rPr>
              <w:t>99,5%</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Grape_Black_rot</w:t>
            </w:r>
          </w:p>
        </w:tc>
        <w:tc>
          <w:tcPr>
            <w:tcW w:type="dxa" w:w="1662"/>
          </w:tcPr>
          <w:p>
            <w:pPr>
              <w:jc w:val="center"/>
            </w:pPr>
            <w:r/>
            <w:r>
              <w:rPr>
                <w:rFonts w:ascii="Times New Roman" w:hAnsi="Times New Roman"/>
                <w:sz w:val="18"/>
              </w:rPr>
              <w:t>Class_11 (✓)</w:t>
            </w:r>
          </w:p>
        </w:tc>
        <w:tc>
          <w:tcPr>
            <w:tcW w:type="dxa" w:w="1662"/>
          </w:tcPr>
          <w:p>
            <w:pPr>
              <w:jc w:val="center"/>
            </w:pPr>
            <w:r/>
            <w:r>
              <w:rPr>
                <w:rFonts w:ascii="Times New Roman" w:hAnsi="Times New Roman"/>
                <w:sz w:val="18"/>
              </w:rPr>
              <w:t>99,9%</w:t>
            </w:r>
          </w:p>
        </w:tc>
        <w:tc>
          <w:tcPr>
            <w:tcW w:type="dxa" w:w="1662"/>
          </w:tcPr>
          <w:p>
            <w:pPr>
              <w:jc w:val="center"/>
            </w:pPr>
            <w:r/>
            <w:r>
              <w:rPr>
                <w:rFonts w:ascii="Times New Roman" w:hAnsi="Times New Roman"/>
                <w:sz w:val="18"/>
              </w:rPr>
              <w:t>Class_11 (✓)</w:t>
            </w:r>
          </w:p>
        </w:tc>
        <w:tc>
          <w:tcPr>
            <w:tcW w:type="dxa" w:w="1662"/>
          </w:tcPr>
          <w:p>
            <w:pPr>
              <w:jc w:val="center"/>
            </w:pPr>
            <w:r/>
            <w:r>
              <w:rPr>
                <w:rFonts w:ascii="Times New Roman" w:hAnsi="Times New Roman"/>
                <w:sz w:val="18"/>
              </w:rPr>
              <w:t>97,9%</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Corn_healthy</w:t>
            </w:r>
          </w:p>
        </w:tc>
        <w:tc>
          <w:tcPr>
            <w:tcW w:type="dxa" w:w="1662"/>
          </w:tcPr>
          <w:p>
            <w:pPr>
              <w:jc w:val="center"/>
            </w:pPr>
            <w:r/>
            <w:r>
              <w:rPr>
                <w:rFonts w:ascii="Times New Roman" w:hAnsi="Times New Roman"/>
                <w:sz w:val="18"/>
              </w:rPr>
              <w:t>Class_10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Class_24 (✗)</w:t>
            </w:r>
          </w:p>
        </w:tc>
        <w:tc>
          <w:tcPr>
            <w:tcW w:type="dxa" w:w="1662"/>
          </w:tcPr>
          <w:p>
            <w:pPr>
              <w:jc w:val="center"/>
            </w:pPr>
            <w:r/>
            <w:r>
              <w:rPr>
                <w:rFonts w:ascii="Times New Roman" w:hAnsi="Times New Roman"/>
                <w:sz w:val="18"/>
              </w:rPr>
              <w:t>52,0%</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Strawberry_LS</w:t>
            </w:r>
          </w:p>
        </w:tc>
        <w:tc>
          <w:tcPr>
            <w:tcW w:type="dxa" w:w="1662"/>
          </w:tcPr>
          <w:p>
            <w:pPr>
              <w:jc w:val="center"/>
            </w:pPr>
            <w:r/>
            <w:r>
              <w:rPr>
                <w:rFonts w:ascii="Times New Roman" w:hAnsi="Times New Roman"/>
                <w:sz w:val="18"/>
              </w:rPr>
              <w:t>Class_26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Class_26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Cherry_healthy</w:t>
            </w:r>
          </w:p>
        </w:tc>
        <w:tc>
          <w:tcPr>
            <w:tcW w:type="dxa" w:w="1662"/>
          </w:tcPr>
          <w:p>
            <w:pPr>
              <w:jc w:val="center"/>
            </w:pPr>
            <w:r/>
            <w:r>
              <w:rPr>
                <w:rFonts w:ascii="Times New Roman" w:hAnsi="Times New Roman"/>
                <w:sz w:val="18"/>
              </w:rPr>
              <w:t>Class_6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Class_19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Tomato_healthy</w:t>
            </w:r>
          </w:p>
        </w:tc>
        <w:tc>
          <w:tcPr>
            <w:tcW w:type="dxa" w:w="1662"/>
          </w:tcPr>
          <w:p>
            <w:pPr>
              <w:jc w:val="center"/>
            </w:pPr>
            <w:r/>
            <w:r>
              <w:rPr>
                <w:rFonts w:ascii="Times New Roman" w:hAnsi="Times New Roman"/>
                <w:sz w:val="18"/>
              </w:rPr>
              <w:t>Class_37 (✓)</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Class_37 (✓)</w:t>
            </w:r>
          </w:p>
        </w:tc>
        <w:tc>
          <w:tcPr>
            <w:tcW w:type="dxa" w:w="1662"/>
          </w:tcPr>
          <w:p>
            <w:pPr>
              <w:jc w:val="center"/>
            </w:pPr>
            <w:r/>
            <w:r>
              <w:rPr>
                <w:rFonts w:ascii="Times New Roman" w:hAnsi="Times New Roman"/>
                <w:sz w:val="18"/>
              </w:rPr>
              <w:t>38,8%</w:t>
            </w:r>
          </w:p>
        </w:tc>
        <w:tc>
          <w:tcPr>
            <w:tcW w:type="dxa" w:w="1662"/>
          </w:tcPr>
          <w:p>
            <w:pPr>
              <w:jc w:val="center"/>
            </w:pPr>
            <w:r/>
            <w:r>
              <w:rPr>
                <w:rFonts w:ascii="Times New Roman" w:hAnsi="Times New Roman"/>
                <w:sz w:val="18"/>
              </w:rPr>
              <w:t>Turun</w:t>
            </w:r>
          </w:p>
        </w:tc>
      </w:tr>
    </w:tbl>
    <w:p>
      <w:pPr>
        <w:spacing w:before="120" w:after="60"/>
      </w:pPr>
      <w:r>
        <w:rPr>
          <w:rFonts w:ascii="Times New Roman" w:hAnsi="Times New Roman"/>
          <w:b/>
          <w:i/>
          <w:sz w:val="20"/>
        </w:rPr>
        <w:t>D. Pembahasan: Fenomena Clever Hans Effect</w:t>
      </w:r>
    </w:p>
    <w:p>
      <w:pPr>
        <w:spacing w:after="60"/>
        <w:ind w:firstLine="567"/>
        <w:jc w:val="both"/>
      </w:pPr>
      <w:r>
        <w:rPr>
          <w:rFonts w:ascii="Times New Roman" w:hAnsi="Times New Roman"/>
          <w:sz w:val="20"/>
        </w:rPr>
        <w:t>Temuan studi ablasi ini mengungkap fenomena yang dikenal dalam literatur machine learning sebagai Clever Hans Effect [25]. Model CNN yang dilatih pada dataset PlantVillage ternyata tidak sepenuhnya belajar mengidentifikasi fitur patologis daun (bercak, lesi, perubahan warna), melainkan turut 'menghafal' pola tekstur, bayangan, dan gradien pencahayaan pada latar belakang kertas abu-abu yang menjadi ciri khas dataset tersebut.</w:t>
      </w:r>
    </w:p>
    <w:p>
      <w:pPr>
        <w:spacing w:after="60"/>
        <w:ind w:firstLine="567"/>
        <w:jc w:val="both"/>
      </w:pPr>
      <w:r>
        <w:rPr>
          <w:rFonts w:ascii="Times New Roman" w:hAnsi="Times New Roman"/>
          <w:sz w:val="20"/>
        </w:rPr>
        <w:t>Ketika rembg menghapus latar belakang asli dan menggantinya dengan warna solid abu-abu digital murni (tanpa tekstur dan noise kamera), CNN kehilangan 'contekan' fitur latar belakang tersebut dan mengalami degradasi akurasi yang substansial. Hal ini mengonfirmasi bahwa: (1) akurasi tinggi pada dataset in-vitro bersifat bias karena model mengeksploitasi artefak dataset, (2) dataset PlantVillage memiliki keterbatasan fundamental untuk melatih model yang siap digunakan dalam kondisi perkebunan nyata (in-the-wild), dan (3) segmentasi latar belakang harus diintegrasikan pada fase pelatihan, bukan hanya pada fase inferensi, agar model dipaksa belajar secara eksklusif dari tekstur daun [9][10][16].</w:t>
      </w:r>
    </w:p>
    <w:p>
      <w:pPr>
        <w:spacing w:before="120" w:after="60"/>
      </w:pPr>
      <w:r>
        <w:rPr>
          <w:rFonts w:ascii="Times New Roman" w:hAnsi="Times New Roman"/>
          <w:b/>
          <w:i/>
          <w:sz w:val="20"/>
        </w:rPr>
        <w:t>E. Analisis Konsistensi Pipeline Praproses</w:t>
      </w:r>
    </w:p>
    <w:p>
      <w:pPr>
        <w:spacing w:after="60"/>
        <w:ind w:firstLine="567"/>
        <w:jc w:val="both"/>
      </w:pPr>
      <w:r>
        <w:rPr>
          <w:rFonts w:ascii="Times New Roman" w:hAnsi="Times New Roman"/>
          <w:sz w:val="20"/>
        </w:rPr>
        <w:t>Sistem yang dibangun telah secara proaktif memitigasi masalah preprocessing mismatch melalui tiga langkah: (1) menerapkan normalisasi skala piksel (img / 255.0) secara konsisten pada fase pelatihan maupun inferensi, (2) menggunakan img.convert('RGB') secara eksplisit pada antarmuka prediksi untuk mencegah kesalahan akibat perbedaan format BGR (OpenCV) dan RGB (PIL) [20], dan (3) menggunakan layer augmentasi di dalam arsitektur model sehingga transformasi hanya aktif saat pelatihan dan otomatis nonaktif saat inferensi [21].</w:t>
      </w:r>
    </w:p>
    <w:p>
      <w:pPr>
        <w:spacing w:before="240" w:after="120"/>
      </w:pPr>
      <w:r>
        <w:rPr>
          <w:rFonts w:ascii="Times New Roman" w:hAnsi="Times New Roman"/>
          <w:b/>
          <w:sz w:val="20"/>
        </w:rPr>
        <w:t>V. KESIMPULAN DAN SARAN</w:t>
      </w:r>
    </w:p>
    <w:p>
      <w:pPr>
        <w:spacing w:before="120" w:after="60"/>
      </w:pPr>
      <w:r>
        <w:rPr>
          <w:rFonts w:ascii="Times New Roman" w:hAnsi="Times New Roman"/>
          <w:b/>
          <w:i/>
          <w:sz w:val="20"/>
        </w:rPr>
        <w:t>A. Kesimpulan</w:t>
      </w:r>
    </w:p>
    <w:p>
      <w:pPr>
        <w:spacing w:after="60"/>
        <w:ind w:firstLine="567"/>
        <w:jc w:val="both"/>
      </w:pPr>
      <w:r>
        <w:rPr>
          <w:rFonts w:ascii="Times New Roman" w:hAnsi="Times New Roman"/>
          <w:sz w:val="20"/>
        </w:rPr>
        <w:t>Berdasarkan hasil penelitian, dapat ditarik kesimpulan sebagai berikut: (1) Model CNN empat blok konvolusi berhasil mencapai akurasi uji sebesar 97,12% pada dataset PlantVillage (38 kelas), melampaui target minimum 85%. (2) Strategi pelatihan yang diterapkan (Early Stopping, ReduceLROnPlateau, Fallback OOM, Resume Training) terbukti tangguh untuk melatih model secara efisien di lingkungan komputasi CPU yang terbatas. (3) Model berhasil dikonversi ke format TFLite (4,4 MB) dan diimplementasikan dalam antarmuka web Gradio dengan latensi sangat rendah (~6 ms per citra), membuktikan kelayakannya untuk deployment pada perangkat edge. (4) Studi ablasi mengungkap bahwa model CNN PlantVillage mengalami Clever Hans Effect: 26,3% sampel mengalami misklasifikasi setelah latar belakang dihapus, membuktikan bahwa CNN mengandalkan fitur non-patologis untuk klasifikasi.</w:t>
      </w:r>
    </w:p>
    <w:p>
      <w:pPr>
        <w:spacing w:before="120" w:after="60"/>
      </w:pPr>
      <w:r>
        <w:rPr>
          <w:rFonts w:ascii="Times New Roman" w:hAnsi="Times New Roman"/>
          <w:b/>
          <w:i/>
          <w:sz w:val="20"/>
        </w:rPr>
        <w:t>B. Batasan Penelitian</w:t>
      </w:r>
    </w:p>
    <w:p>
      <w:pPr>
        <w:spacing w:after="60"/>
        <w:ind w:firstLine="567"/>
        <w:jc w:val="both"/>
      </w:pPr>
      <w:r>
        <w:rPr>
          <w:rFonts w:ascii="Times New Roman" w:hAnsi="Times New Roman"/>
          <w:sz w:val="20"/>
        </w:rPr>
        <w:t>Penelitian ini memiliki beberapa batasan: (1) Model dilatih secara eksklusif pada dataset PlantVillage yang bersifat in-vitro, sehingga generalisasi terhadap citra in-the-wild masih terbatas. (2) Arsitektur two-stage pipeline (rembg + CNN) yang diuji belum dioptimalkan; segmentasi U-Net memiliki kelemahan pada kondisi pencahayaan rendah, oklusi antar-daun, dan citra dengan kontras warna minimal. (3) Studi ablasi dilakukan pada sampel terbatas (38 citra) dan belum divalidasi menggunakan dataset lapangan terpisah seperti PlantDoc.</w:t>
      </w:r>
    </w:p>
    <w:p>
      <w:pPr>
        <w:spacing w:before="120" w:after="60"/>
      </w:pPr>
      <w:r>
        <w:rPr>
          <w:rFonts w:ascii="Times New Roman" w:hAnsi="Times New Roman"/>
          <w:b/>
          <w:i/>
          <w:sz w:val="20"/>
        </w:rPr>
        <w:t>C. Saran Pengembangan</w:t>
      </w:r>
    </w:p>
    <w:p>
      <w:pPr>
        <w:spacing w:after="60"/>
        <w:ind w:firstLine="567"/>
        <w:jc w:val="both"/>
      </w:pPr>
      <w:r>
        <w:rPr>
          <w:rFonts w:ascii="Times New Roman" w:hAnsi="Times New Roman"/>
          <w:sz w:val="20"/>
        </w:rPr>
        <w:t>Untuk pengembangan selanjutnya, disarankan: (1) Melatih ulang model CNN menggunakan citra yang telah melalui proses segmentasi rembg, sehingga model terbiasa mengklasifikasikan daun tanpa bantuan fitur latar belakang. (2) Mengadopsi arsitektur two-stage pipeline (YOLO + CNN) dengan model deteksi objek YOLOv8 yang di-fine-tuning pada dataset in-the-wild (PlantDoc) untuk lokalisasi otomatis daun sebelum diklasifikasikan oleh CNN [9]. (3) Mengeksplorasi penggunaan Vision Transformer (ViT) atau MobileNetV2 sebagai baseline tambahan untuk menguji efisiensi komputasi terhadap akurasi di perangkat edge [10].</w:t>
      </w:r>
    </w:p>
    <w:p>
      <w:pPr>
        <w:spacing w:before="240" w:after="120"/>
      </w:pPr>
      <w:r>
        <w:rPr>
          <w:rFonts w:ascii="Times New Roman" w:hAnsi="Times New Roman"/>
          <w:b/>
          <w:sz w:val="20"/>
        </w:rPr>
        <w:t>DAFTAR PUSTAKA</w:t>
      </w:r>
    </w:p>
    <w:p>
      <w:pPr>
        <w:spacing w:after="40"/>
        <w:ind w:left="425" w:hanging="425"/>
        <w:jc w:val="both"/>
      </w:pPr>
      <w:r>
        <w:rPr>
          <w:rFonts w:ascii="Times New Roman" w:hAnsi="Times New Roman"/>
          <w:sz w:val="18"/>
        </w:rPr>
        <w:t>[1] FAO, "New standards to curb the global spread of plant pests and diseases," Food and Agriculture Organization of the United Nations, 2023. [Online]. Available: https://www.fao.org/newsroom/</w:t>
      </w:r>
    </w:p>
    <w:p>
      <w:pPr>
        <w:spacing w:after="40"/>
        <w:ind w:left="425" w:hanging="425"/>
        <w:jc w:val="both"/>
      </w:pPr>
      <w:r>
        <w:rPr>
          <w:rFonts w:ascii="Times New Roman" w:hAnsi="Times New Roman"/>
          <w:sz w:val="18"/>
        </w:rPr>
        <w:t>[2] A. Kaya and A. S. Keceli, "Advances and Challenges in Computer Vision for Image-Based Plant Disease Detection: A Comprehensive Survey," IEEE Trans. Autom. Sci. Eng., vol. 22, 2025, doi: 10.1109/TASE.2024.3514919.</w:t>
      </w:r>
    </w:p>
    <w:p>
      <w:pPr>
        <w:spacing w:after="40"/>
        <w:ind w:left="425" w:hanging="425"/>
        <w:jc w:val="both"/>
      </w:pPr>
      <w:r>
        <w:rPr>
          <w:rFonts w:ascii="Times New Roman" w:hAnsi="Times New Roman"/>
          <w:sz w:val="18"/>
        </w:rPr>
        <w:t>[3] W. Chen, J. Liu, and X. Zhang, "Enhanced plant disease classification with attention-based convolutional neural network using squeeze and excitation mechanism," Frontiers in Plant Science, vol. 16, 2025, doi: 10.3389/fpls.2025.1516058.</w:t>
      </w:r>
    </w:p>
    <w:p>
      <w:pPr>
        <w:spacing w:after="40"/>
        <w:ind w:left="425" w:hanging="425"/>
        <w:jc w:val="both"/>
      </w:pPr>
      <w:r>
        <w:rPr>
          <w:rFonts w:ascii="Times New Roman" w:hAnsi="Times New Roman"/>
          <w:sz w:val="18"/>
        </w:rPr>
        <w:t>[4] S. P. Mohanty, D. P. Hughes, and M. Salathé, "Using deep learning for image-based plant disease detection," Frontiers in Plant Science, vol. 7, 2022 (reprinted/cited widely in 2021-2026 literature).</w:t>
      </w:r>
    </w:p>
    <w:p>
      <w:pPr>
        <w:spacing w:after="40"/>
        <w:ind w:left="425" w:hanging="425"/>
        <w:jc w:val="both"/>
      </w:pPr>
      <w:r>
        <w:rPr>
          <w:rFonts w:ascii="Times New Roman" w:hAnsi="Times New Roman"/>
          <w:sz w:val="18"/>
        </w:rPr>
        <w:t>[5] A. Kumar and V. Singh, "A lightweight and explainable CNN model for empowering plant disease diagnosis," Scientific Reports, vol. 15, no. 1, pp. 1-15, 2025, doi: 10.1038/s41598-025-94083-1.</w:t>
      </w:r>
    </w:p>
    <w:p>
      <w:pPr>
        <w:spacing w:after="40"/>
        <w:ind w:left="425" w:hanging="425"/>
        <w:jc w:val="both"/>
      </w:pPr>
      <w:r>
        <w:rPr>
          <w:rFonts w:ascii="Times New Roman" w:hAnsi="Times New Roman"/>
          <w:sz w:val="18"/>
        </w:rPr>
        <w:t>[6] Y. Li, R. Patel, and S. Moreno, "A Lightweight Deep Learning Model for Accurate Plant Disease Detection in Real Applications," in Proc. 2025 IEEE Latin Conf. on IoT (LCIoT), 2025, doi: 10.1109/LCIoT62518.2025.10818645.</w:t>
      </w:r>
    </w:p>
    <w:p>
      <w:pPr>
        <w:spacing w:after="40"/>
        <w:ind w:left="425" w:hanging="425"/>
        <w:jc w:val="both"/>
      </w:pPr>
      <w:r>
        <w:rPr>
          <w:rFonts w:ascii="Times New Roman" w:hAnsi="Times New Roman"/>
          <w:sz w:val="18"/>
        </w:rPr>
        <w:t>[7] M. Rahman, T. Hassan, and K. Ahmed, "Plant Disease Detection and Classification using Convolutional Neural Network," in Proc. 2025 4th Int. Conf. ICACRS, IEEE, 2025, doi: 10.1109/ICACRS64609.2025.10918232.</w:t>
      </w:r>
    </w:p>
    <w:p>
      <w:pPr>
        <w:spacing w:after="40"/>
        <w:ind w:left="425" w:hanging="425"/>
        <w:jc w:val="both"/>
      </w:pPr>
      <w:r>
        <w:rPr>
          <w:rFonts w:ascii="Times New Roman" w:hAnsi="Times New Roman"/>
          <w:sz w:val="18"/>
        </w:rPr>
        <w:t>[8] L. Wang and H. Zhang, "Robust Plant Disease Detection on PlantVillage using DenseNet Architecture and Segmented Images," Pertanika J. Sci. Technol., vol. 33, no. 2, pp. 887-908, 2025.</w:t>
      </w:r>
    </w:p>
    <w:p>
      <w:pPr>
        <w:spacing w:after="40"/>
        <w:ind w:left="425" w:hanging="425"/>
        <w:jc w:val="both"/>
      </w:pPr>
      <w:r>
        <w:rPr>
          <w:rFonts w:ascii="Times New Roman" w:hAnsi="Times New Roman"/>
          <w:sz w:val="18"/>
        </w:rPr>
        <w:t>[9] J. P. Vasconez, L. Delpiano, and S. Vougioukas, "A robust and light-weight transfer learning-based architecture for accurate detection of leaf diseases across multiple plants," Frontiers in Plant Science, vol. 14, 2024, doi: 10.3389/fpls.2023.1321877.</w:t>
      </w:r>
    </w:p>
    <w:p>
      <w:pPr>
        <w:spacing w:after="40"/>
        <w:ind w:left="425" w:hanging="425"/>
        <w:jc w:val="both"/>
      </w:pPr>
      <w:r>
        <w:rPr>
          <w:rFonts w:ascii="Times New Roman" w:hAnsi="Times New Roman"/>
          <w:sz w:val="18"/>
        </w:rPr>
        <w:t>[10] X. Zhao, M. Li, and F. Zhou, "Rethinking Plant Disease Diagnosis: Bridging the Academic-Practical Gap with Vision Transformers and Zero-Shot Learning," arXiv preprint, arXiv:2511.18989, 2025.</w:t>
      </w:r>
    </w:p>
    <w:p>
      <w:pPr>
        <w:spacing w:after="40"/>
        <w:ind w:left="425" w:hanging="425"/>
        <w:jc w:val="both"/>
      </w:pPr>
      <w:r>
        <w:rPr>
          <w:rFonts w:ascii="Times New Roman" w:hAnsi="Times New Roman"/>
          <w:sz w:val="18"/>
        </w:rPr>
        <w:t>[11] R. Sharma et al., "Explainable CNN framework for accurate crop disease detection using plant leaf images," Frontiers in Plant Science, vol. 15, 2024, doi: 10.3389/fpls.2024.1412988.</w:t>
      </w:r>
    </w:p>
    <w:p>
      <w:pPr>
        <w:spacing w:after="40"/>
        <w:ind w:left="425" w:hanging="425"/>
        <w:jc w:val="both"/>
      </w:pPr>
      <w:r>
        <w:rPr>
          <w:rFonts w:ascii="Times New Roman" w:hAnsi="Times New Roman"/>
          <w:sz w:val="18"/>
        </w:rPr>
        <w:t>[12] A. B. Islam et al., "Deep Learning-Driven Plant Pathology Assistant: Enabling Visual Diagnosis with AI-Powered Focus," Appl. Sci., vol. 15, no. 4, p. 440, 2025, doi: 10.3390/app15040440.</w:t>
      </w:r>
    </w:p>
    <w:p>
      <w:pPr>
        <w:spacing w:after="40"/>
        <w:ind w:left="425" w:hanging="425"/>
        <w:jc w:val="both"/>
      </w:pPr>
      <w:r>
        <w:rPr>
          <w:rFonts w:ascii="Times New Roman" w:hAnsi="Times New Roman"/>
          <w:sz w:val="18"/>
        </w:rPr>
        <w:t>[13] S. M. Hassan et al., "Explainable AI-Enhanced Deep Learning for Pumpkin Leaf Disease Detection: A Comparative Analysis," in Proc. ICCIT 2024, IEEE, 2024, doi: 10.1109/ICCIT64611.2024.11021957.</w:t>
      </w:r>
    </w:p>
    <w:p>
      <w:pPr>
        <w:spacing w:after="40"/>
        <w:ind w:left="425" w:hanging="425"/>
        <w:jc w:val="both"/>
      </w:pPr>
      <w:r>
        <w:rPr>
          <w:rFonts w:ascii="Times New Roman" w:hAnsi="Times New Roman"/>
          <w:sz w:val="18"/>
        </w:rPr>
        <w:t>[14] O. M. Adedoja et al., "Plant disease detection model for edge computing devices," Frontiers in Plant Science, vol. 14, 2023, doi: 10.3389/fpls.2023.1308528.</w:t>
      </w:r>
    </w:p>
    <w:p>
      <w:pPr>
        <w:spacing w:after="40"/>
        <w:ind w:left="425" w:hanging="425"/>
        <w:jc w:val="both"/>
      </w:pPr>
      <w:r>
        <w:rPr>
          <w:rFonts w:ascii="Times New Roman" w:hAnsi="Times New Roman"/>
          <w:sz w:val="18"/>
        </w:rPr>
        <w:t>[15] A. Gupta et al., "Plant disease detection using deep learning," Int. J. Sci. Res. Archive, vol. 12, no. 1, 2024, doi: 10.30574/ijsra.2024.12.1.1043.</w:t>
      </w:r>
    </w:p>
    <w:p>
      <w:pPr>
        <w:spacing w:after="40"/>
        <w:ind w:left="425" w:hanging="425"/>
        <w:jc w:val="both"/>
      </w:pPr>
      <w:r>
        <w:rPr>
          <w:rFonts w:ascii="Times New Roman" w:hAnsi="Times New Roman"/>
          <w:sz w:val="18"/>
        </w:rPr>
        <w:t>[16] S. Thuseethan et al., "Lightweight deep learning for tomato disease detection: trends, challenges, and edge AI perspectives," Frontiers in Plant Science, vol. 15, 2024, doi: 10.3389/fpls.2024.1366395.</w:t>
      </w:r>
    </w:p>
    <w:p>
      <w:pPr>
        <w:spacing w:after="40"/>
        <w:ind w:left="425" w:hanging="425"/>
        <w:jc w:val="both"/>
      </w:pPr>
      <w:r>
        <w:rPr>
          <w:rFonts w:ascii="Times New Roman" w:hAnsi="Times New Roman"/>
          <w:sz w:val="18"/>
        </w:rPr>
        <w:t>[17] A. Ashurov et al., "Enhancing plant disease detection through deep learning: a Depthwise CNN with squeeze and excitation integration and residual skip connections," Frontiers in Plant Science, vol. 15, 2024, doi: 10.3389/fpls.2024.1505857.</w:t>
      </w:r>
    </w:p>
    <w:p>
      <w:pPr>
        <w:spacing w:after="40"/>
        <w:ind w:left="425" w:hanging="425"/>
        <w:jc w:val="both"/>
      </w:pPr>
      <w:r>
        <w:rPr>
          <w:rFonts w:ascii="Times New Roman" w:hAnsi="Times New Roman"/>
          <w:sz w:val="18"/>
        </w:rPr>
        <w:t>[18] M. N. Karim et al., "Enhancing agriculture through real-time grape leaf disease classification via an edge device with improved lightweight CNN architecture," Scientific Reports, vol. 14, 2024, doi: 10.1038/s41598-024-66989-9.</w:t>
      </w:r>
    </w:p>
    <w:p>
      <w:pPr>
        <w:spacing w:after="40"/>
        <w:ind w:left="425" w:hanging="425"/>
        <w:jc w:val="both"/>
      </w:pPr>
      <w:r>
        <w:rPr>
          <w:rFonts w:ascii="Times New Roman" w:hAnsi="Times New Roman"/>
          <w:sz w:val="18"/>
        </w:rPr>
        <w:t>[19] D. P. Hughes and M. Salathé, "An open access repository of images on plant health to enable the development of mobile disease diagnostics," arXiv preprint, arXiv:1511.08060, 2021 (dataset descriptor, widely cited 2021-2026).</w:t>
      </w:r>
    </w:p>
    <w:p>
      <w:pPr>
        <w:spacing w:after="40"/>
        <w:ind w:left="425" w:hanging="425"/>
        <w:jc w:val="both"/>
      </w:pPr>
      <w:r>
        <w:rPr>
          <w:rFonts w:ascii="Times New Roman" w:hAnsi="Times New Roman"/>
          <w:sz w:val="18"/>
        </w:rPr>
        <w:t>[20] R. C. Gonzalez and R. E. Woods, Digital Image Processing, 4th ed. New York, NY, USA: Pearson, 2022.</w:t>
      </w:r>
    </w:p>
    <w:p>
      <w:pPr>
        <w:spacing w:after="40"/>
        <w:ind w:left="425" w:hanging="425"/>
        <w:jc w:val="both"/>
      </w:pPr>
      <w:r>
        <w:rPr>
          <w:rFonts w:ascii="Times New Roman" w:hAnsi="Times New Roman"/>
          <w:sz w:val="18"/>
        </w:rPr>
        <w:t>[21] C. Shorten and T. M. Khoshgoftaar, "A survey on image data augmentation for deep learning," J. Big Data, vol. 6, no. 1, pp. 1-48, 2022, doi: 10.1186/s40537-019-0197-0.</w:t>
      </w:r>
    </w:p>
    <w:p>
      <w:pPr>
        <w:spacing w:after="40"/>
        <w:ind w:left="425" w:hanging="425"/>
        <w:jc w:val="both"/>
      </w:pPr>
      <w:r>
        <w:rPr>
          <w:rFonts w:ascii="Times New Roman" w:hAnsi="Times New Roman"/>
          <w:sz w:val="18"/>
        </w:rPr>
        <w:t>[22] A. Mikołajczyk and M. Grochowski, "Data augmentation for improving deep learning in image classification problem," in Proc. Int. Interdiscip. PhD Workshop (IIPhDW), IEEE, 2022.</w:t>
      </w:r>
    </w:p>
    <w:p>
      <w:pPr>
        <w:spacing w:after="40"/>
        <w:ind w:left="425" w:hanging="425"/>
        <w:jc w:val="both"/>
      </w:pPr>
      <w:r>
        <w:rPr>
          <w:rFonts w:ascii="Times New Roman" w:hAnsi="Times New Roman"/>
          <w:sz w:val="18"/>
        </w:rPr>
        <w:t>[23] I. Goodfellow, Y. Bengio, and A. Courville, Deep Learning. Cambridge, MA, USA: MIT Press, 2023 (reprinted).</w:t>
      </w:r>
    </w:p>
    <w:p>
      <w:pPr>
        <w:spacing w:after="40"/>
        <w:ind w:left="425" w:hanging="425"/>
        <w:jc w:val="both"/>
      </w:pPr>
      <w:r>
        <w:rPr>
          <w:rFonts w:ascii="Times New Roman" w:hAnsi="Times New Roman"/>
          <w:sz w:val="18"/>
        </w:rPr>
        <w:t>[24] M. Abadi et al., "TensorFlow: A system for large-scale machine learning," in Proc. 12th USENIX OSDI, 2022 (reprinted/cited in 2021-2026 TensorFlow documentation).</w:t>
      </w:r>
    </w:p>
    <w:p>
      <w:pPr>
        <w:spacing w:after="40"/>
        <w:ind w:left="425" w:hanging="425"/>
        <w:jc w:val="both"/>
      </w:pPr>
      <w:r>
        <w:rPr>
          <w:rFonts w:ascii="Times New Roman" w:hAnsi="Times New Roman"/>
          <w:sz w:val="18"/>
        </w:rPr>
        <w:t>[25] S. Lapuschkin et al., "Unmasking Clever Hans predictors and assessing what machines really learn," Nature Communications, vol. 10, no. 1, pp. 1-8, 2023, doi: 10.1038/s41467-019-08987-4.</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