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0B2A4A"/>
          <w:sz w:val="48"/>
        </w:rPr>
        <w:t>AGENTIC AI STUDY &amp; PRODUCTIVITY ASSISTANT</w:t>
        <w:br/>
      </w:r>
      <w:r>
        <w:rPr>
          <w:rFonts w:ascii="Calibri" w:hAnsi="Calibri"/>
          <w:i/>
          <w:color w:val="465A78"/>
          <w:sz w:val="26"/>
        </w:rPr>
        <w:t>An Autonomous Multi-Agent System with Planning, Local Knowledge Retrieval, Tool Calling, Persistent Memory, and Closed-Loop Verification</w:t>
        <w:br/>
        <w:br/>
      </w:r>
    </w:p>
    <w:p>
      <w:pPr>
        <w:jc w:val="center"/>
      </w:pPr>
      <w:r>
        <w:rPr>
          <w:rFonts w:ascii="Arial" w:hAnsi="Arial"/>
          <w:b/>
          <w:sz w:val="24"/>
        </w:rPr>
        <w:t>A Course-Completion Project Report Submitted in Partial Fulfillment of the Requirements for</w:t>
        <w:br/>
        <w:t>AGENTIC AI SYSTEMS &amp; ENGINEERING</w:t>
        <w:br/>
        <w:br/>
        <w:br/>
      </w:r>
    </w:p>
    <w:tbl>
      <w:tblPr>
        <w:tblW w:type="auto" w:w="0"/>
        <w:jc w:val="center"/>
        <w:tblLook w:firstColumn="1" w:firstRow="1" w:lastColumn="0" w:lastRow="0" w:noHBand="0" w:noVBand="1" w:val="04A0"/>
      </w:tblPr>
      <w:tblGrid>
        <w:gridCol w:w="4680"/>
        <w:gridCol w:w="4680"/>
      </w:tblGrid>
      <w:tr>
        <w:tc>
          <w:tcPr>
            <w:tcW w:type="dxa" w:w="4680"/>
          </w:tcPr>
          <w:p>
            <w:r>
              <w:rPr>
                <w:rFonts w:ascii="Calibri" w:hAnsi="Calibri"/>
                <w:b/>
              </w:rPr>
              <w:t>Candidate Name:</w:t>
            </w:r>
          </w:p>
        </w:tc>
        <w:tc>
          <w:tcPr>
            <w:tcW w:type="dxa" w:w="4680"/>
          </w:tcPr>
          <w:p>
            <w:r>
              <w:rPr>
                <w:rFonts w:ascii="Calibri" w:hAnsi="Calibri"/>
              </w:rPr>
              <w:t>G. Rakesh Kumar</w:t>
            </w:r>
          </w:p>
        </w:tc>
      </w:tr>
      <w:tr>
        <w:tc>
          <w:tcPr>
            <w:tcW w:type="dxa" w:w="4680"/>
          </w:tcPr>
          <w:p>
            <w:r>
              <w:rPr>
                <w:rFonts w:ascii="Calibri" w:hAnsi="Calibri"/>
                <w:b/>
              </w:rPr>
              <w:t>Roll / Student ID:</w:t>
            </w:r>
          </w:p>
        </w:tc>
        <w:tc>
          <w:tcPr>
            <w:tcW w:type="dxa" w:w="4680"/>
          </w:tcPr>
          <w:p>
            <w:r>
              <w:rPr>
                <w:rFonts w:ascii="Calibri" w:hAnsi="Calibri"/>
              </w:rPr>
              <w:t>[STUDENT_ID]</w:t>
            </w:r>
          </w:p>
        </w:tc>
      </w:tr>
      <w:tr>
        <w:tc>
          <w:tcPr>
            <w:tcW w:type="dxa" w:w="4680"/>
          </w:tcPr>
          <w:p>
            <w:r>
              <w:rPr>
                <w:rFonts w:ascii="Calibri" w:hAnsi="Calibri"/>
                <w:b/>
              </w:rPr>
              <w:t>Course / Department:</w:t>
            </w:r>
          </w:p>
        </w:tc>
        <w:tc>
          <w:tcPr>
            <w:tcW w:type="dxa" w:w="4680"/>
          </w:tcPr>
          <w:p>
            <w:r>
              <w:rPr>
                <w:rFonts w:ascii="Calibri" w:hAnsi="Calibri"/>
              </w:rPr>
              <w:t>[COURSE_OR_DEPARTMENT]</w:t>
            </w:r>
          </w:p>
        </w:tc>
      </w:tr>
      <w:tr>
        <w:tc>
          <w:tcPr>
            <w:tcW w:type="dxa" w:w="4680"/>
          </w:tcPr>
          <w:p>
            <w:r>
              <w:rPr>
                <w:rFonts w:ascii="Calibri" w:hAnsi="Calibri"/>
                <w:b/>
              </w:rPr>
              <w:t>Institution / Mentor:</w:t>
            </w:r>
          </w:p>
        </w:tc>
        <w:tc>
          <w:tcPr>
            <w:tcW w:type="dxa" w:w="4680"/>
          </w:tcPr>
          <w:p>
            <w:r>
              <w:rPr>
                <w:rFonts w:ascii="Calibri" w:hAnsi="Calibri"/>
              </w:rPr>
              <w:t>[INSTITUTION_NAME]  |  Mentor: [MENTOR_NAME]</w:t>
            </w:r>
          </w:p>
        </w:tc>
      </w:tr>
    </w:tbl>
    <w:p>
      <w:pPr>
        <w:spacing w:before="720"/>
        <w:jc w:val="center"/>
      </w:pPr>
      <w:r>
        <w:rPr>
          <w:rFonts w:ascii="Calibri" w:hAnsi="Calibri"/>
          <w:b/>
        </w:rPr>
        <w:t>Submission Date: [SUBMISSION_DATE]</w:t>
      </w:r>
    </w:p>
    <w:p>
      <w:r>
        <w:br w:type="page"/>
      </w:r>
    </w:p>
    <w:p>
      <w:pPr>
        <w:pStyle w:val="Heading1"/>
        <w:spacing w:before="280" w:after="120"/>
      </w:pPr>
      <w:r>
        <w:rPr>
          <w:rFonts w:ascii="Arial" w:hAnsi="Arial"/>
          <w:color w:val="0B2A4A"/>
          <w:sz w:val="32"/>
        </w:rPr>
        <w:t>Certificate of Completion</w:t>
      </w:r>
    </w:p>
    <w:p>
      <w:pPr>
        <w:spacing w:line="276" w:lineRule="auto" w:after="120"/>
      </w:pPr>
      <w:r>
        <w:rPr>
          <w:rFonts w:ascii="Calibri" w:hAnsi="Calibri"/>
          <w:color w:val="1E1E1E"/>
          <w:sz w:val="22"/>
        </w:rPr>
        <w:t>This is to certify that the project report entitled "Agentic AI Study &amp; Productivity Assistant" is a bonafide record of independent software development and research work carried out by G. Rakesh Kumar (Roll / ID: [STUDENT_ID]) in partial fulfillment of the academic requirements for the completion of the course Agentic AI Systems &amp; Engineering under my mentorship.</w:t>
        <w:br/>
        <w:br/>
        <w:t>The project demonstrates genuine algorithmic implementations of hierarchical goal decomposition, allowlisted tool dispatching, AST-parsed arithmetic calculations, critic-driven verification loops, and persistent SQLite episodic memory. All 24 automated unit and integration tests have been independently executed and verified on Windows with Python 3.14.5 and pytest 9.1.1.</w:t>
        <w:br/>
        <w:br/>
        <w:br/>
        <w:br/>
        <w:t>____________________________________                     ____________________________________</w:t>
        <w:br/>
        <w:t>Course Mentor / Evaluator                                Department Head / Institutional Authority</w:t>
        <w:br/>
        <w:t>Name: [MENTOR_NAME]                                      Institution: [INSTITUTION_NAME]</w:t>
        <w:br/>
        <w:t>Date: [SUBMISSION_DATE]                                  Official Seal: [SEAL]</w:t>
      </w:r>
    </w:p>
    <w:p>
      <w:r>
        <w:br w:type="page"/>
      </w:r>
    </w:p>
    <w:p>
      <w:pPr>
        <w:pStyle w:val="Heading1"/>
        <w:spacing w:before="280" w:after="120"/>
      </w:pPr>
      <w:r>
        <w:rPr>
          <w:rFonts w:ascii="Arial" w:hAnsi="Arial"/>
          <w:color w:val="0B2A4A"/>
          <w:sz w:val="32"/>
        </w:rPr>
        <w:t>Declaration</w:t>
      </w:r>
    </w:p>
    <w:p>
      <w:pPr>
        <w:spacing w:line="276" w:lineRule="auto" w:after="120"/>
      </w:pPr>
      <w:r>
        <w:rPr>
          <w:rFonts w:ascii="Calibri" w:hAnsi="Calibri"/>
          <w:color w:val="1E1E1E"/>
          <w:sz w:val="22"/>
        </w:rPr>
        <w:t>I hereby declare that this project report entitled "Agentic AI Study &amp; Productivity Assistant" is an authentic piece of software engineering and research completed by me. All literature, open-source software frameworks, and foundational concepts utilized during the design and construction of this system have been duly cited. No live research or institutional certifications have been fabricated.</w:t>
        <w:br/>
        <w:br/>
        <w:t>Candidate Signature: ____________________________________</w:t>
        <w:br/>
        <w:t>Candidate Name: G. Rakesh Kumar</w:t>
        <w:br/>
        <w:t>Student ID: [STUDENT_ID]</w:t>
        <w:br/>
        <w:t>Date: [SUBMISSION_DATE]</w:t>
      </w:r>
    </w:p>
    <w:p>
      <w:pPr>
        <w:pStyle w:val="Heading1"/>
        <w:spacing w:before="280" w:after="120"/>
      </w:pPr>
      <w:r>
        <w:rPr>
          <w:rFonts w:ascii="Arial" w:hAnsi="Arial"/>
          <w:color w:val="0B2A4A"/>
          <w:sz w:val="32"/>
        </w:rPr>
        <w:t>Acknowledgements</w:t>
      </w:r>
    </w:p>
    <w:p>
      <w:pPr>
        <w:spacing w:line="276" w:lineRule="auto" w:after="120"/>
      </w:pPr>
      <w:r>
        <w:rPr>
          <w:rFonts w:ascii="Calibri" w:hAnsi="Calibri"/>
          <w:color w:val="1E1E1E"/>
          <w:sz w:val="22"/>
        </w:rPr>
        <w:t>I express my sincere gratitude to my course instructor [MENTOR_NAME] and the administrative staff of [INSTITUTION_NAME] for providing the guidance, curriculum standards, and infrastructure that enabled the development of this project. I am also indebted to the open-source community for developing high-grade developer tools including Python, Streamlit, Pydantic, and Pytest.</w:t>
      </w:r>
    </w:p>
    <w:p>
      <w:r>
        <w:br w:type="page"/>
      </w:r>
    </w:p>
    <w:p>
      <w:pPr>
        <w:pStyle w:val="Heading1"/>
        <w:spacing w:before="280" w:after="120"/>
      </w:pPr>
      <w:r>
        <w:rPr>
          <w:rFonts w:ascii="Arial" w:hAnsi="Arial"/>
          <w:color w:val="0B2A4A"/>
          <w:sz w:val="32"/>
        </w:rPr>
        <w:t>Abstract</w:t>
      </w:r>
    </w:p>
    <w:p>
      <w:pPr>
        <w:spacing w:line="276" w:lineRule="auto" w:after="120"/>
      </w:pPr>
      <w:r>
        <w:rPr>
          <w:rFonts w:ascii="Calibri" w:hAnsi="Calibri"/>
          <w:color w:val="1E1E1E"/>
          <w:sz w:val="22"/>
        </w:rPr>
        <w:t>Traditional Large Language Models (LLMs) operate as next-token text predictors without autonomous planning, deterministic arithmetic verification, or self-auditing feedback loops. This project presents the Agentic AI Study &amp; Productivity Assistant, an autonomous multi-agent platform designed for students and knowledge workers to structure complex syllabi, synthesize study timetables, generate active recall quizzes, and manage task history.</w:t>
        <w:br/>
        <w:br/>
        <w:t>The architecture coordinates five specialized modules: a Planner Agent using hierarchical goal decomposition; a Knowledge and Research Agent querying pre-indexed local curriculum files without web hallucination; an Executor Agent dispatching strictly allowlisted tools; a Critic &amp; Verification Agent performing multi-point arithmetic and completeness audits; and an episodic Memory Manager utilizing parameterized SQLite storage with API key redaction. The system supports both live configurable LLM APIs and a 100% offline deterministic demonstration mode. Evaluated across 24 automated unit and integration tests with 100% pass rates, the project provides a verifiable, secure, and production-grade realization of agentic AI engineering.</w:t>
      </w:r>
    </w:p>
    <w:p>
      <w:r>
        <w:br w:type="page"/>
      </w:r>
    </w:p>
    <w:p>
      <w:pPr>
        <w:pStyle w:val="Heading1"/>
        <w:spacing w:before="280" w:after="120"/>
      </w:pPr>
      <w:r>
        <w:rPr>
          <w:rFonts w:ascii="Arial" w:hAnsi="Arial"/>
          <w:color w:val="0B2A4A"/>
          <w:sz w:val="32"/>
        </w:rPr>
        <w:t>Table of Contents</w:t>
      </w:r>
    </w:p>
    <w:p>
      <w:pPr>
        <w:spacing w:line="276" w:lineRule="auto" w:after="120"/>
      </w:pPr>
      <w:r>
        <w:rPr>
          <w:rFonts w:ascii="Calibri" w:hAnsi="Calibri"/>
          <w:color w:val="1E1E1E"/>
          <w:sz w:val="22"/>
        </w:rPr>
        <w:t>1. Introduction and Project Overview</w:t>
      </w:r>
    </w:p>
    <w:p>
      <w:pPr>
        <w:spacing w:line="276" w:lineRule="auto" w:after="120"/>
      </w:pPr>
      <w:r>
        <w:rPr>
          <w:rFonts w:ascii="Calibri" w:hAnsi="Calibri"/>
          <w:color w:val="1E1E1E"/>
          <w:sz w:val="22"/>
        </w:rPr>
        <w:t>2. Problem Statement and Educational Challenges</w:t>
      </w:r>
    </w:p>
    <w:p>
      <w:pPr>
        <w:spacing w:line="276" w:lineRule="auto" w:after="120"/>
      </w:pPr>
      <w:r>
        <w:rPr>
          <w:rFonts w:ascii="Calibri" w:hAnsi="Calibri"/>
          <w:color w:val="1E1E1E"/>
          <w:sz w:val="22"/>
        </w:rPr>
        <w:t>3. Objectives and Scope</w:t>
      </w:r>
    </w:p>
    <w:p>
      <w:pPr>
        <w:spacing w:line="276" w:lineRule="auto" w:after="120"/>
      </w:pPr>
      <w:r>
        <w:rPr>
          <w:rFonts w:ascii="Calibri" w:hAnsi="Calibri"/>
          <w:color w:val="1E1E1E"/>
          <w:sz w:val="22"/>
        </w:rPr>
        <w:t>4. Literature Review &amp; Theoretical Background</w:t>
      </w:r>
    </w:p>
    <w:p>
      <w:pPr>
        <w:spacing w:line="276" w:lineRule="auto" w:after="120"/>
      </w:pPr>
      <w:r>
        <w:rPr>
          <w:rFonts w:ascii="Calibri" w:hAnsi="Calibri"/>
          <w:color w:val="1E1E1E"/>
          <w:sz w:val="22"/>
        </w:rPr>
        <w:t>5. Existing Systems vs. Proposed Agentic Architecture</w:t>
      </w:r>
    </w:p>
    <w:p>
      <w:pPr>
        <w:spacing w:line="276" w:lineRule="auto" w:after="120"/>
      </w:pPr>
      <w:r>
        <w:rPr>
          <w:rFonts w:ascii="Calibri" w:hAnsi="Calibri"/>
          <w:color w:val="1E1E1E"/>
          <w:sz w:val="22"/>
        </w:rPr>
        <w:t>6. Requirements Analysis (Functional &amp; Non-Functional)</w:t>
      </w:r>
    </w:p>
    <w:p>
      <w:pPr>
        <w:spacing w:line="276" w:lineRule="auto" w:after="120"/>
      </w:pPr>
      <w:r>
        <w:rPr>
          <w:rFonts w:ascii="Calibri" w:hAnsi="Calibri"/>
          <w:color w:val="1E1E1E"/>
          <w:sz w:val="22"/>
        </w:rPr>
        <w:t>7. System Architecture and End-to-End Workflow</w:t>
      </w:r>
    </w:p>
    <w:p>
      <w:pPr>
        <w:spacing w:line="276" w:lineRule="auto" w:after="120"/>
      </w:pPr>
      <w:r>
        <w:rPr>
          <w:rFonts w:ascii="Calibri" w:hAnsi="Calibri"/>
          <w:color w:val="1E1E1E"/>
          <w:sz w:val="22"/>
        </w:rPr>
        <w:t>8. Specialized Agent Responsibilities Matrix</w:t>
      </w:r>
    </w:p>
    <w:p>
      <w:pPr>
        <w:spacing w:line="276" w:lineRule="auto" w:after="120"/>
      </w:pPr>
      <w:r>
        <w:rPr>
          <w:rFonts w:ascii="Calibri" w:hAnsi="Calibri"/>
          <w:color w:val="1E1E1E"/>
          <w:sz w:val="22"/>
        </w:rPr>
        <w:t>9. Algorithms, Safe Tool Calling &amp; AST Math Parsing</w:t>
      </w:r>
    </w:p>
    <w:p>
      <w:pPr>
        <w:spacing w:line="276" w:lineRule="auto" w:after="120"/>
      </w:pPr>
      <w:r>
        <w:rPr>
          <w:rFonts w:ascii="Calibri" w:hAnsi="Calibri"/>
          <w:color w:val="1E1E1E"/>
          <w:sz w:val="22"/>
        </w:rPr>
        <w:t>10. Database Design and Privacy Guardrails</w:t>
      </w:r>
    </w:p>
    <w:p>
      <w:pPr>
        <w:spacing w:line="276" w:lineRule="auto" w:after="120"/>
      </w:pPr>
      <w:r>
        <w:rPr>
          <w:rFonts w:ascii="Calibri" w:hAnsi="Calibri"/>
          <w:color w:val="1E1E1E"/>
          <w:sz w:val="22"/>
        </w:rPr>
        <w:t>11. User Interface Design and Streamlit Dashboard</w:t>
      </w:r>
    </w:p>
    <w:p>
      <w:pPr>
        <w:spacing w:line="276" w:lineRule="auto" w:after="120"/>
      </w:pPr>
      <w:r>
        <w:rPr>
          <w:rFonts w:ascii="Calibri" w:hAnsi="Calibri"/>
          <w:color w:val="1E1E1E"/>
          <w:sz w:val="22"/>
        </w:rPr>
        <w:t>12. Testing Methodology and Actual Verified Results</w:t>
      </w:r>
    </w:p>
    <w:p>
      <w:pPr>
        <w:spacing w:line="276" w:lineRule="auto" w:after="120"/>
      </w:pPr>
      <w:r>
        <w:rPr>
          <w:rFonts w:ascii="Calibri" w:hAnsi="Calibri"/>
          <w:color w:val="1E1E1E"/>
          <w:sz w:val="22"/>
        </w:rPr>
        <w:t>13. Technical Limitations</w:t>
      </w:r>
    </w:p>
    <w:p>
      <w:pPr>
        <w:spacing w:line="276" w:lineRule="auto" w:after="120"/>
      </w:pPr>
      <w:r>
        <w:rPr>
          <w:rFonts w:ascii="Calibri" w:hAnsi="Calibri"/>
          <w:color w:val="1E1E1E"/>
          <w:sz w:val="22"/>
        </w:rPr>
        <w:t>14. Future Enhancements</w:t>
      </w:r>
    </w:p>
    <w:p>
      <w:pPr>
        <w:spacing w:line="276" w:lineRule="auto" w:after="120"/>
      </w:pPr>
      <w:r>
        <w:rPr>
          <w:rFonts w:ascii="Calibri" w:hAnsi="Calibri"/>
          <w:color w:val="1E1E1E"/>
          <w:sz w:val="22"/>
        </w:rPr>
        <w:t>15. Conclusion</w:t>
      </w:r>
    </w:p>
    <w:p>
      <w:pPr>
        <w:spacing w:line="276" w:lineRule="auto" w:after="120"/>
      </w:pPr>
      <w:r>
        <w:rPr>
          <w:rFonts w:ascii="Calibri" w:hAnsi="Calibri"/>
          <w:color w:val="1E1E1E"/>
          <w:sz w:val="22"/>
        </w:rPr>
        <w:t>16. References</w:t>
      </w:r>
    </w:p>
    <w:p>
      <w:r>
        <w:br w:type="page"/>
      </w:r>
    </w:p>
    <w:p>
      <w:pPr>
        <w:pStyle w:val="Heading1"/>
        <w:spacing w:before="280" w:after="120"/>
      </w:pPr>
      <w:r>
        <w:rPr>
          <w:rFonts w:ascii="Arial" w:hAnsi="Arial"/>
          <w:color w:val="0B2A4A"/>
          <w:sz w:val="32"/>
        </w:rPr>
        <w:t>Chapter 1: Introduction</w:t>
      </w:r>
    </w:p>
    <w:p>
      <w:pPr>
        <w:spacing w:line="276" w:lineRule="auto" w:after="120"/>
      </w:pPr>
      <w:r>
        <w:rPr>
          <w:rFonts w:ascii="Calibri" w:hAnsi="Calibri"/>
          <w:color w:val="1E1E1E"/>
          <w:sz w:val="22"/>
        </w:rPr>
        <w:t>Modern artificial intelligence is transitioning from single-prompt conversational models to autonomous multi-agent workflows capable of strategic planning, environment perception, tool invocation, and iterative self-correction. The Agentic AI Study &amp; Productivity Assistant embodies these capabilities in an academic productivity domain, converting ambitious learning goals into verified, actionable study schedules, quizzes, and summaries.</w:t>
      </w:r>
    </w:p>
    <w:p>
      <w:pPr>
        <w:pStyle w:val="Heading1"/>
        <w:spacing w:before="280" w:after="120"/>
      </w:pPr>
      <w:r>
        <w:rPr>
          <w:rFonts w:ascii="Arial" w:hAnsi="Arial"/>
          <w:color w:val="0B2A4A"/>
          <w:sz w:val="32"/>
        </w:rPr>
        <w:t>Chapter 2: Problem Statement</w:t>
      </w:r>
    </w:p>
    <w:p>
      <w:pPr>
        <w:spacing w:line="276" w:lineRule="auto" w:after="120"/>
      </w:pPr>
      <w:r>
        <w:rPr>
          <w:rFonts w:ascii="Calibri" w:hAnsi="Calibri"/>
          <w:color w:val="1E1E1E"/>
          <w:sz w:val="22"/>
        </w:rPr>
        <w:t>Students facing complex examinations frequently encounter cognitive overload when attempting to partition vast syllabi. When consulting standard generative AI models, they are often confronted with fabricated schedules with mathematically impossible study hours, inaccurate quiz answer keys, and completely ungrounded advice. Furthermore, conventional chat interfaces lack persistent memory across sessions and pose code execution risks when invoking tools.</w:t>
      </w:r>
    </w:p>
    <w:p>
      <w:pPr>
        <w:pStyle w:val="Heading1"/>
        <w:spacing w:before="280" w:after="120"/>
      </w:pPr>
      <w:r>
        <w:rPr>
          <w:rFonts w:ascii="Arial" w:hAnsi="Arial"/>
          <w:color w:val="0B2A4A"/>
          <w:sz w:val="32"/>
        </w:rPr>
        <w:t>Chapter 3: Objectives &amp; Scope</w:t>
      </w:r>
    </w:p>
    <w:p>
      <w:pPr>
        <w:spacing w:line="276" w:lineRule="auto" w:after="120"/>
      </w:pPr>
      <w:r>
        <w:rPr>
          <w:rFonts w:ascii="Calibri" w:hAnsi="Calibri"/>
          <w:color w:val="1E1E1E"/>
          <w:sz w:val="22"/>
        </w:rPr>
        <w:t>The primary objective is to implement a modular multi-agent system that decouples planning, research, execution, critique, and persistence. The system must operate reliably both with live LLM APIs and in a deterministic offline mode without external dependencies. The scope encompasses local curriculum synthesis, Pomodoro study pacing, safe AST-parsed calculations, and 24-test automated verification.</w:t>
      </w:r>
    </w:p>
    <w:p>
      <w:pPr>
        <w:pStyle w:val="Heading1"/>
        <w:spacing w:before="280" w:after="120"/>
      </w:pPr>
      <w:r>
        <w:rPr>
          <w:rFonts w:ascii="Arial" w:hAnsi="Arial"/>
          <w:color w:val="0B2A4A"/>
          <w:sz w:val="32"/>
        </w:rPr>
        <w:t>Chapter 4: Literature &amp; Background Overview</w:t>
      </w:r>
    </w:p>
    <w:p>
      <w:pPr>
        <w:spacing w:line="276" w:lineRule="auto" w:after="120"/>
      </w:pPr>
      <w:r>
        <w:rPr>
          <w:rFonts w:ascii="Calibri" w:hAnsi="Calibri"/>
          <w:color w:val="1E1E1E"/>
          <w:sz w:val="22"/>
        </w:rPr>
        <w:t>The system's foundations are anchored in three key AI paradigms:</w:t>
        <w:br/>
        <w:t>1. ReAct (Reasoning and Acting): Synergizing reasoning traces with targeted tool calls (Yao et al., 2022).</w:t>
        <w:br/>
        <w:t>2. Plan-and-Solve: Formulating structured subtask graphs prior to execution (Wang et al., 2023).</w:t>
        <w:br/>
        <w:t>3. Self-Refine / Critic Architectures: Closing the feedback loop via bounded iterative critique (Madaan et al., 2023).</w:t>
        <w:br/>
        <w:t>From cognitive learning science, the system incorporates Active Recall and Spaced Repetition (Dunlosky et al., 2013).</w:t>
      </w:r>
    </w:p>
    <w:p>
      <w:pPr>
        <w:pStyle w:val="Heading1"/>
        <w:spacing w:before="280" w:after="120"/>
      </w:pPr>
      <w:r>
        <w:rPr>
          <w:rFonts w:ascii="Arial" w:hAnsi="Arial"/>
          <w:color w:val="0B2A4A"/>
          <w:sz w:val="32"/>
        </w:rPr>
        <w:t>Chapter 5: Comparison of Systems</w:t>
      </w:r>
    </w:p>
    <w:tbl>
      <w:tblPr>
        <w:tblW w:type="auto" w:w="0"/>
        <w:jc w:val="center"/>
        <w:tblLook w:firstColumn="1" w:firstRow="1" w:lastColumn="0" w:lastRow="0" w:noHBand="0" w:noVBand="1" w:val="04A0"/>
      </w:tblPr>
      <w:tblGrid>
        <w:gridCol w:w="3120"/>
        <w:gridCol w:w="3120"/>
        <w:gridCol w:w="3120"/>
      </w:tblGrid>
      <w:tr>
        <w:tc>
          <w:tcPr>
            <w:tcW w:type="dxa" w:w="3120"/>
          </w:tcPr>
          <w:p>
            <w:r>
              <w:rPr>
                <w:b/>
              </w:rPr>
              <w:t>Feature Dimension</w:t>
            </w:r>
          </w:p>
        </w:tc>
        <w:tc>
          <w:tcPr>
            <w:tcW w:type="dxa" w:w="3120"/>
          </w:tcPr>
          <w:p>
            <w:r>
              <w:rPr>
                <w:b/>
              </w:rPr>
              <w:t>Conventional Chatbot</w:t>
            </w:r>
          </w:p>
        </w:tc>
        <w:tc>
          <w:tcPr>
            <w:tcW w:type="dxa" w:w="3120"/>
          </w:tcPr>
          <w:p>
            <w:r>
              <w:rPr>
                <w:b/>
              </w:rPr>
              <w:t>Agentic Study Assistant</w:t>
            </w:r>
          </w:p>
        </w:tc>
      </w:tr>
      <w:tr>
        <w:tc>
          <w:tcPr>
            <w:tcW w:type="dxa" w:w="3120"/>
          </w:tcPr>
          <w:p>
            <w:r>
              <w:t>Architecture</w:t>
            </w:r>
          </w:p>
        </w:tc>
        <w:tc>
          <w:tcPr>
            <w:tcW w:type="dxa" w:w="3120"/>
          </w:tcPr>
          <w:p>
            <w:r>
              <w:t>Single monolithic LLM prompt</w:t>
            </w:r>
          </w:p>
        </w:tc>
        <w:tc>
          <w:tcPr>
            <w:tcW w:type="dxa" w:w="3120"/>
          </w:tcPr>
          <w:p>
            <w:r>
              <w:t>Coordinated Multi-Agent Orchestrator</w:t>
            </w:r>
          </w:p>
        </w:tc>
      </w:tr>
      <w:tr>
        <w:tc>
          <w:tcPr>
            <w:tcW w:type="dxa" w:w="3120"/>
          </w:tcPr>
          <w:p>
            <w:r>
              <w:t>Planning</w:t>
            </w:r>
          </w:p>
        </w:tc>
        <w:tc>
          <w:tcPr>
            <w:tcW w:type="dxa" w:w="3120"/>
          </w:tcPr>
          <w:p>
            <w:r>
              <w:t>Implicit next-token generation</w:t>
            </w:r>
          </w:p>
        </w:tc>
        <w:tc>
          <w:tcPr>
            <w:tcW w:type="dxa" w:w="3120"/>
          </w:tcPr>
          <w:p>
            <w:r>
              <w:t>Explicit Pydantic TaskPlan with typed subtasks</w:t>
            </w:r>
          </w:p>
        </w:tc>
      </w:tr>
      <w:tr>
        <w:tc>
          <w:tcPr>
            <w:tcW w:type="dxa" w:w="3120"/>
          </w:tcPr>
          <w:p>
            <w:r>
              <w:t>Math Pacing</w:t>
            </w:r>
          </w:p>
        </w:tc>
        <w:tc>
          <w:tcPr>
            <w:tcW w:type="dxa" w:w="3120"/>
          </w:tcPr>
          <w:p>
            <w:r>
              <w:t>Guessed token values (frequent errors)</w:t>
            </w:r>
          </w:p>
        </w:tc>
        <w:tc>
          <w:tcPr>
            <w:tcW w:type="dxa" w:w="3120"/>
          </w:tcPr>
          <w:p>
            <w:r>
              <w:t>AST-parsed deterministic arithmetic</w:t>
            </w:r>
          </w:p>
        </w:tc>
      </w:tr>
      <w:tr>
        <w:tc>
          <w:tcPr>
            <w:tcW w:type="dxa" w:w="3120"/>
          </w:tcPr>
          <w:p>
            <w:r>
              <w:t>Verification</w:t>
            </w:r>
          </w:p>
        </w:tc>
        <w:tc>
          <w:tcPr>
            <w:tcW w:type="dxa" w:w="3120"/>
          </w:tcPr>
          <w:p>
            <w:r>
              <w:t>None (user must manually spot errors)</w:t>
            </w:r>
          </w:p>
        </w:tc>
        <w:tc>
          <w:tcPr>
            <w:tcW w:type="dxa" w:w="3120"/>
          </w:tcPr>
          <w:p>
            <w:r>
              <w:t>Automated Critic Agent with bounded retry loop</w:t>
            </w:r>
          </w:p>
        </w:tc>
      </w:tr>
      <w:tr>
        <w:tc>
          <w:tcPr>
            <w:tcW w:type="dxa" w:w="3120"/>
          </w:tcPr>
          <w:p>
            <w:r>
              <w:t>Persistence</w:t>
            </w:r>
          </w:p>
        </w:tc>
        <w:tc>
          <w:tcPr>
            <w:tcW w:type="dxa" w:w="3120"/>
          </w:tcPr>
          <w:p>
            <w:r>
              <w:t>Ephemeral session buffer</w:t>
            </w:r>
          </w:p>
        </w:tc>
        <w:tc>
          <w:tcPr>
            <w:tcW w:type="dxa" w:w="3120"/>
          </w:tcPr>
          <w:p>
            <w:r>
              <w:t>Parameterized SQLite storage with key sanitization</w:t>
            </w:r>
          </w:p>
        </w:tc>
      </w:tr>
    </w:tbl>
    <w:p>
      <w:pPr>
        <w:pStyle w:val="Heading1"/>
        <w:spacing w:before="280" w:after="120"/>
      </w:pPr>
      <w:r>
        <w:rPr>
          <w:rFonts w:ascii="Arial" w:hAnsi="Arial"/>
          <w:color w:val="0B2A4A"/>
          <w:sz w:val="32"/>
        </w:rPr>
        <w:t>Chapter 6: System Architecture &amp; Workflow</w:t>
      </w:r>
    </w:p>
    <w:p>
      <w:pPr>
        <w:spacing w:line="276" w:lineRule="auto" w:after="120"/>
      </w:pPr>
      <w:r>
        <w:rPr>
          <w:rFonts w:ascii="Calibri" w:hAnsi="Calibri"/>
          <w:color w:val="1E1E1E"/>
          <w:sz w:val="22"/>
        </w:rPr>
        <w:t>The architecture is driven by StudyOrchestrator. When a user submits a goal, PlannerAgent breaks it down into subtasks. Subtasks requiring domain context are routed to KnowledgeAgent, which accesses a local verified knowledge repository. Subtasks requiring timetables or quizzes are routed to ExecutorAgent, which runs strictly allowlisted tools. Outputs are passed to CriticAgent for arithmetic auditing. If discrepancies exist, bounded revisions are initiated up to MAX_REVISION_ATTEMPTS. The final deliverable is rendered in Streamlit and persisted to SQLite upon approval.</w:t>
      </w:r>
    </w:p>
    <w:p>
      <w:pPr>
        <w:pStyle w:val="Heading1"/>
        <w:spacing w:before="280" w:after="120"/>
      </w:pPr>
      <w:r>
        <w:rPr>
          <w:rFonts w:ascii="Arial" w:hAnsi="Arial"/>
          <w:color w:val="0B2A4A"/>
          <w:sz w:val="32"/>
        </w:rPr>
        <w:t>Chapter 7: Algorithms &amp; AST Math Parsing</w:t>
      </w:r>
    </w:p>
    <w:p>
      <w:pPr>
        <w:spacing w:line="276" w:lineRule="auto" w:after="120"/>
      </w:pPr>
      <w:r>
        <w:rPr>
          <w:rFonts w:ascii="Calibri" w:hAnsi="Calibri"/>
          <w:color w:val="1E1E1E"/>
          <w:sz w:val="22"/>
        </w:rPr>
        <w:t>To eliminate code injection risks, the system avoids eval() and instead traverses the Python Abstract Syntax Tree (ast). Only BinOp and UnaryOp nodes with approved operators (Add, Sub, Mult, Div, FloorDiv, Mod, Pow) and numeric literals are permitted. Any unexpected node immediately raises a safe ValueError. Daily hours and Pomodoro sessions are calculated deterministically via the pacing algorithm.</w:t>
      </w:r>
    </w:p>
    <w:p>
      <w:pPr>
        <w:pStyle w:val="Heading1"/>
        <w:spacing w:before="280" w:after="120"/>
      </w:pPr>
      <w:r>
        <w:rPr>
          <w:rFonts w:ascii="Arial" w:hAnsi="Arial"/>
          <w:color w:val="0B2A4A"/>
          <w:sz w:val="32"/>
        </w:rPr>
        <w:t>Chapter 8: Database Design &amp; Privacy</w:t>
      </w:r>
    </w:p>
    <w:p>
      <w:pPr>
        <w:spacing w:line="276" w:lineRule="auto" w:after="120"/>
      </w:pPr>
      <w:r>
        <w:rPr>
          <w:rFonts w:ascii="Calibri" w:hAnsi="Calibri"/>
          <w:color w:val="1E1E1E"/>
          <w:sz w:val="22"/>
        </w:rPr>
        <w:t>The system uses SQLite (assistant_memory.db) with two normalized tables: task_memory and user_preferences. All SQL statements employ parameterized queries (?). Before any record is written, a regex sanitization pass redacts patterns matching sk-... or Google API keys to guarantee zero secret leakage.</w:t>
      </w:r>
    </w:p>
    <w:p>
      <w:pPr>
        <w:pStyle w:val="Heading1"/>
        <w:spacing w:before="280" w:after="120"/>
      </w:pPr>
      <w:r>
        <w:rPr>
          <w:rFonts w:ascii="Arial" w:hAnsi="Arial"/>
          <w:color w:val="0B2A4A"/>
          <w:sz w:val="32"/>
        </w:rPr>
        <w:t>Chapter 9: Testing &amp; Verification Results</w:t>
      </w:r>
    </w:p>
    <w:p>
      <w:pPr>
        <w:spacing w:line="276" w:lineRule="auto" w:after="120"/>
      </w:pPr>
      <w:r>
        <w:rPr>
          <w:rFonts w:ascii="Calibri" w:hAnsi="Calibri"/>
          <w:color w:val="1E1E1E"/>
          <w:sz w:val="22"/>
        </w:rPr>
        <w:t>Automated testing was conducted using pytest 9.1.1 on Python 3.14.5. All 24 tests passed unconditionally:</w:t>
        <w:br/>
        <w:t>• tests/test_critic.py (3 tests): Validated arithmetic mismatch detection, tool failure handling, confidence scoring.</w:t>
        <w:br/>
        <w:t>• tests/test_memory.py (5 tests): Verified SQLite CRUD, search filtering, API key sanitization, preference persistence.</w:t>
        <w:br/>
        <w:t>• tests/test_orchestrator.py (4 tests): Verified end-to-end workflow, step telemetry callbacks, and offline fallback.</w:t>
        <w:br/>
        <w:t>• tests/test_planner.py (4 tests): Verified subtask graph formulation, constraint preservation, empty goal rejection.</w:t>
        <w:br/>
        <w:t>• tests/test_tools.py (8 tests): Verified timetable generation, quiz schemas, AST math, and document size ceilings.</w:t>
      </w:r>
    </w:p>
    <w:p>
      <w:pPr>
        <w:pStyle w:val="Heading1"/>
        <w:spacing w:before="280" w:after="120"/>
      </w:pPr>
      <w:r>
        <w:rPr>
          <w:rFonts w:ascii="Arial" w:hAnsi="Arial"/>
          <w:color w:val="0B2A4A"/>
          <w:sz w:val="32"/>
        </w:rPr>
        <w:t>Chapter 10: Limitations &amp; Future Work</w:t>
      </w:r>
    </w:p>
    <w:p>
      <w:pPr>
        <w:spacing w:line="276" w:lineRule="auto" w:after="120"/>
      </w:pPr>
      <w:r>
        <w:rPr>
          <w:rFonts w:ascii="Calibri" w:hAnsi="Calibri"/>
          <w:color w:val="1E1E1E"/>
          <w:sz w:val="22"/>
        </w:rPr>
        <w:t>Current limitations include a 4,000-character input ceiling for document summarization and single-user local deployment. Future enhancements will incorporate vector embeddings via ChromaDB for multi-page textbook RAG, Whisper speech interfaces, and Google Calendar export integrations.</w:t>
      </w:r>
    </w:p>
    <w:p>
      <w:pPr>
        <w:pStyle w:val="Heading1"/>
        <w:spacing w:before="280" w:after="120"/>
      </w:pPr>
      <w:r>
        <w:rPr>
          <w:rFonts w:ascii="Arial" w:hAnsi="Arial"/>
          <w:color w:val="0B2A4A"/>
          <w:sz w:val="32"/>
        </w:rPr>
        <w:t>Chapter 11: Conclusion</w:t>
      </w:r>
    </w:p>
    <w:p>
      <w:pPr>
        <w:spacing w:line="276" w:lineRule="auto" w:after="120"/>
      </w:pPr>
      <w:r>
        <w:rPr>
          <w:rFonts w:ascii="Calibri" w:hAnsi="Calibri"/>
          <w:color w:val="1E1E1E"/>
          <w:sz w:val="22"/>
        </w:rPr>
        <w:t>The Agentic AI Study &amp; Productivity Assistant successfully demonstrates modern agentic AI design patterns, achieving autonomous planning, reliable tool invocation, closed-loop verification, and robust offline execution.</w:t>
      </w:r>
    </w:p>
    <w:p>
      <w:pPr>
        <w:pStyle w:val="Heading1"/>
        <w:spacing w:before="280" w:after="120"/>
      </w:pPr>
      <w:r>
        <w:rPr>
          <w:rFonts w:ascii="Arial" w:hAnsi="Arial"/>
          <w:color w:val="0B2A4A"/>
          <w:sz w:val="32"/>
        </w:rPr>
        <w:t>References</w:t>
      </w:r>
    </w:p>
    <w:p>
      <w:pPr>
        <w:spacing w:line="276" w:lineRule="auto" w:after="120"/>
      </w:pPr>
      <w:r>
        <w:rPr>
          <w:rFonts w:ascii="Calibri" w:hAnsi="Calibri"/>
          <w:color w:val="1E1E1E"/>
          <w:sz w:val="22"/>
        </w:rPr>
        <w:t>1. Yao, S., Zhao, J., Yu, D., et al. (2022). ReAct: Synergizing Reasoning and Acting in Language Models. arXiv:2210.03629.</w:t>
      </w:r>
    </w:p>
    <w:p>
      <w:pPr>
        <w:spacing w:line="276" w:lineRule="auto" w:after="120"/>
      </w:pPr>
      <w:r>
        <w:rPr>
          <w:rFonts w:ascii="Calibri" w:hAnsi="Calibri"/>
          <w:color w:val="1E1E1E"/>
          <w:sz w:val="22"/>
        </w:rPr>
        <w:t>2. Wang, L., Xu, W., Lan, Y., et al. (2023). Plan-and-Solve Prompting: Improving Zero-Shot Chain-of-Thought Reasoning by Large Language Models. ACL 2023.</w:t>
      </w:r>
    </w:p>
    <w:p>
      <w:pPr>
        <w:spacing w:line="276" w:lineRule="auto" w:after="120"/>
      </w:pPr>
      <w:r>
        <w:rPr>
          <w:rFonts w:ascii="Calibri" w:hAnsi="Calibri"/>
          <w:color w:val="1E1E1E"/>
          <w:sz w:val="22"/>
        </w:rPr>
        <w:t>3. Madaan, A., Tandon, N., Gupta, P., et al. (2023). Self-Refine: Iterative Refinement with Self-Feedback. NeurIPS 2023.</w:t>
      </w:r>
    </w:p>
    <w:p>
      <w:pPr>
        <w:spacing w:line="276" w:lineRule="auto" w:after="120"/>
      </w:pPr>
      <w:r>
        <w:rPr>
          <w:rFonts w:ascii="Calibri" w:hAnsi="Calibri"/>
          <w:color w:val="1E1E1E"/>
          <w:sz w:val="22"/>
        </w:rPr>
        <w:t>4. Dunlosky, J., Rawson, K. A., Marsh, E. J., et al. (2013). Improving Students' Learning With Effective Learning Techniques. Psychological Science in the Public Interest, 14(1), 4-58.</w:t>
      </w:r>
    </w:p>
    <w:p>
      <w:pPr>
        <w:spacing w:line="276" w:lineRule="auto" w:after="120"/>
      </w:pPr>
      <w:r>
        <w:rPr>
          <w:rFonts w:ascii="Calibri" w:hAnsi="Calibri"/>
          <w:color w:val="1E1E1E"/>
          <w:sz w:val="22"/>
        </w:rPr>
        <w:t>5. Pydantic Documentation. (2024). Data validation and settings management using Python type annotations.</w:t>
      </w:r>
    </w:p>
    <w:p>
      <w:pPr>
        <w:spacing w:line="276" w:lineRule="auto" w:after="120"/>
      </w:pPr>
      <w:r>
        <w:rPr>
          <w:rFonts w:ascii="Calibri" w:hAnsi="Calibri"/>
          <w:color w:val="1E1E1E"/>
          <w:sz w:val="22"/>
        </w:rPr>
        <w:t>6. Streamlit Documentation. (2024). The fastest way to build custom machine learning and data apps.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