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Times New Roman" w:hAnsi="Times New Roman"/>
          <w:b/>
          <w:color w:val="000000"/>
          <w:sz w:val="34"/>
        </w:rPr>
        <w:t>Active Analog Optoelectronic Sensing Architecture for Monochromatic Embossed Braille Recognition: From Binary Baselines to Multi-Channel Differential Profiling</w:t>
      </w:r>
    </w:p>
    <w:p>
      <w:pPr>
        <w:spacing w:before="60" w:after="40"/>
        <w:jc w:val="center"/>
      </w:pPr>
      <w:r>
        <w:rPr>
          <w:rFonts w:ascii="Times New Roman" w:hAnsi="Times New Roman"/>
          <w:b/>
          <w:color w:val="000000"/>
          <w:sz w:val="21"/>
        </w:rPr>
        <w:t>Ashwinsha P, Sanjay Ramaswamy S, Rakesh N</w:t>
      </w:r>
    </w:p>
    <w:p>
      <w:pPr>
        <w:spacing w:before="0" w:after="160"/>
        <w:jc w:val="center"/>
      </w:pPr>
      <w:r>
        <w:rPr>
          <w:rFonts w:ascii="Times New Roman" w:hAnsi="Times New Roman"/>
          <w:i/>
          <w:color w:val="000000"/>
          <w:sz w:val="17"/>
        </w:rPr>
        <w:t>Department of Embedded Technology, School of Electronics Engineering (SENSE)</w:t>
        <w:br/>
        <w:t>Vellore Institute of Technology (VIT), Vellore, Tamil Nadu, India</w:t>
        <w:br/>
        <w:t>{ashwinsha.p2024, sanjay.ramaswamy2024, rakesh.n2024}@vitstudent.ac.in</w:t>
      </w:r>
    </w:p>
    <w:tbl>
      <w:tblPr>
        <w:tblW w:type="auto" w:w="0"/>
        <w:jc w:val="center"/>
        <w:tblLayout w:type="fixed"/>
        <w:tblLook w:firstColumn="1" w:firstRow="1" w:lastColumn="0" w:lastRow="0" w:noHBand="0" w:noVBand="1" w:val="04A0"/>
      </w:tblPr>
      <w:tblGrid>
        <w:gridCol w:w="10368"/>
      </w:tblGrid>
      <w:tr>
        <w:tc>
          <w:tcPr>
            <w:tcW w:type="dxa" w:w="10368"/>
            <w:shd w:fill="FAFAFA"/>
            <w:tcMar>
              <w:top w:w="90" w:type="dxa"/>
              <w:bottom w:w="90" w:type="dxa"/>
              <w:left w:w="130" w:type="dxa"/>
              <w:right w:w="130" w:type="dxa"/>
            </w:tcMar>
            <w:tcBorders>
              <w:top w:val="single" w:sz="6" w:space="0" w:color="000000"/>
              <w:bottom w:val="single" w:sz="6" w:space="0" w:color="000000"/>
              <w:left w:val="none"/>
              <w:right w:val="none"/>
            </w:tcBorders>
          </w:tcPr>
          <w:p>
            <w:pPr>
              <w:spacing w:before="0" w:after="60"/>
            </w:pPr>
            <w:r>
              <w:rPr>
                <w:rFonts w:ascii="Times New Roman" w:hAnsi="Times New Roman"/>
                <w:b/>
                <w:color w:val="000000"/>
                <w:sz w:val="18"/>
              </w:rPr>
              <w:t xml:space="preserve">Abstract— </w:t>
            </w:r>
            <w:r>
              <w:rPr>
                <w:rFonts w:ascii="Times New Roman" w:hAnsi="Times New Roman"/>
                <w:color w:val="000000"/>
                <w:sz w:val="17"/>
              </w:rPr>
              <w:t>Automated tactile Braille character recognition on ultra-constrained 8-bit microcontrollers is fundamentally limited by the trade-off between compute-intensive camera-based computer vision pipelines and brittle, scalar optoelectronic reflective sensors. In this paper, we critically audit our earlier baseline prototype—which utilized six discrete TCRT5000 infrared sensors operating in binary Digital Output (DO) mode to detect high-contrast black-on-white printed dots—and identify its fundamental physical failure when applied to real-world monochromatic (white-on-white) embossed Braille (nominal dot height h = 0.48 mm, dot pitch p = 2.50 mm). To overcome these limitations without resorting to external GPUs or camera co-processors, we propose an active analog optoelectronic sensing architecture that exploits the previously unconnected Analog Output (AO) channels of the TCRT5000 array. By time-multiplexing individual infrared emitters (λ = 950 nm) and sampling multi-channel analog responses across adjacent phototransistors, the proposed system captures directional cross-scattered flux induced by micro-facet surface tilting and proximity compression. We formulate an analytical self-referenced differential model and the Antisymmetric Normalized Cross-Scatter Ratio (ANCSR) to provide first-order suppression of paper discoloration and planar albedo variations. A 42-conversion acquisition pipeline with ambient baseline subtraction is engineered for the 16 MHz ATmega328P, executing within 4.52 ms and utilizing only 84 bytes of SRAM. Finally, we establish a formal, statistically rigorous 12-experiment validation protocol (with un-fabricated placeholder templates) to guide empirical bench characterization of distance sensitivity, lateral misalignment, surface reflectance, and character recognition.</w:t>
            </w:r>
          </w:p>
          <w:p>
            <w:pPr>
              <w:spacing w:before="60" w:after="0"/>
            </w:pPr>
            <w:r>
              <w:rPr>
                <w:rFonts w:ascii="Times New Roman" w:hAnsi="Times New Roman"/>
                <w:b/>
                <w:color w:val="000000"/>
                <w:sz w:val="17"/>
              </w:rPr>
              <w:t xml:space="preserve">Index Terms— </w:t>
            </w:r>
            <w:r>
              <w:rPr>
                <w:rFonts w:ascii="Times New Roman" w:hAnsi="Times New Roman"/>
                <w:i/>
                <w:color w:val="000000"/>
                <w:sz w:val="17"/>
              </w:rPr>
              <w:t>Assistive optoelectronics, Braille character recognition, analog reflective sensing, cross-scattering radiometry, micro-topography sensing, self-referenced differential sensing, ATmega328P.</w:t>
            </w:r>
          </w:p>
        </w:tc>
      </w:tr>
    </w:tbl>
    <w:p>
      <w:pPr>
        <w:sectPr>
          <w:pgSz w:w="12240" w:h="15840"/>
          <w:pgMar w:top="1080" w:right="936" w:bottom="1080" w:left="936" w:header="720" w:footer="720" w:gutter="0"/>
          <w:cols w:space="720"/>
          <w:docGrid w:linePitch="360"/>
        </w:sectPr>
      </w:pPr>
    </w:p>
    <w:p>
      <w:pPr>
        <w:keepNext/>
        <w:spacing w:before="220" w:after="60"/>
        <w:jc w:val="center"/>
      </w:pPr>
      <w:r>
        <w:rPr>
          <w:rFonts w:ascii="Times New Roman" w:hAnsi="Times New Roman"/>
          <w:b/>
          <w:color w:val="000000"/>
          <w:sz w:val="21"/>
        </w:rPr>
        <w:t>I. INTRODUCTION</w:t>
      </w:r>
    </w:p>
    <w:p>
      <w:r>
        <w:t>Tactile literacy through the Braille writing system is essential for the cognitive development, educational inclusion, and professional autonomy of visually impaired individuals worldwide [1]–[3]. Standard literary Braille encodes alphanumeric characters through a 3×2 rectangular matrix of embossed dots conforming strictly to dimensional specifications established by the American National Standards Institute (ANSI/NISO Z39.88: 2.34–2.50 mm dot-to-dot pitch, 1.40–1.50 mm base diameter, and 0.45–0.50 mm nominal relief elevation) [3]. Automated transcription of physical Braille into digital text or synthesized speech is vital for educational accessibility and blind-to-sighted communication [4], [5].</w:t>
      </w:r>
    </w:p>
    <w:p>
      <w:r>
        <w:t>Contemporary automatic Braille acquisition systems largely fall into two divergent paradigms: (1) high-complexity, camera-based Optical Braille Recognition (OBR) pipelines executed on single-board computers (e.g., Raspberry Pi) or cloud servers [10]–[14], and (2) electromechanical contact arrays utilizing piezoelectric or motorized micro-pins [19]–[26]. While computer vision methods achieve high accuracy on flat scanned imagery, they require substantial memory buffers (&gt;100 KB), consume high power (&gt;1.5 W), and suffer severe degradation under motion blur and changing ambient lighting [15]–[18]. Conversely, electromechanical profilometers are mechanically fragile, prone to tactile wear, and prohibitively expensive (&gt; $2,000 USD) [23]–[26].</w:t>
      </w:r>
    </w:p>
    <w:p>
      <w:r>
        <w:t>In our previous work [1], we developed a low-cost baseline prototype that utilized six discrete infrared reflective sensors (Vishay TCRT5000) interfaced to an 8-bit ATmega328P microcontroller to decode 6-bit Braille patterns without image processing. However, as audited in Section III, that baseline operated exclusively in binary Digital Output (DO) mode and relied on black-on-white printed contrast. When deployed on authentic monochromatic (white-on-white) embossed Braille cardstock, scalar binary comparators completely fail due to inter-sensor optical crosstalk, ambient light drift, and the inability to distinguish 3D dome topography from surface reflectance variations.</w:t>
      </w:r>
    </w:p>
    <w:p>
      <w:r>
        <w:t>To address these fundamental physical limits, this paper proposes an active analog optoelectronic sensing architecture. By harnessing the previously unused Analog Output (AO) channels of the TCRT5000 array and implementing time-multiplexed multi-channel differential interrogation, the proposed system extracts directional cross-scattering gradients directly related to physical dot elevation.</w:t>
      </w:r>
    </w:p>
    <w:p>
      <w:pPr>
        <w:keepNext/>
        <w:spacing w:before="220" w:after="60"/>
        <w:jc w:val="center"/>
      </w:pPr>
      <w:r>
        <w:rPr>
          <w:rFonts w:ascii="Times New Roman" w:hAnsi="Times New Roman"/>
          <w:b/>
          <w:color w:val="000000"/>
          <w:sz w:val="21"/>
        </w:rPr>
        <w:t>II. BACKGROUND AND RELATED WORK</w:t>
      </w:r>
    </w:p>
    <w:p>
      <w:pPr>
        <w:keepNext/>
        <w:spacing w:before="160" w:after="40"/>
        <w:jc w:val="left"/>
      </w:pPr>
      <w:r>
        <w:rPr>
          <w:rFonts w:ascii="Times New Roman" w:hAnsi="Times New Roman"/>
          <w:b/>
          <w:i/>
          <w:color w:val="000000"/>
          <w:sz w:val="19"/>
        </w:rPr>
        <w:t>A. Optical Braille Recognition (OBR) Systems</w:t>
      </w:r>
    </w:p>
    <w:p>
      <w:r>
        <w:t>Camera-based OBR represents the predominant research paradigm [10]–[14]. Gopinath et al. [10] deployed a 5-megapixel CMOS camera on a Raspberry Pi Zero, using Otsu thresholding and spatial contour analysis. Liu et al. [11] developed 'Finger-Eye', a wearable camera that corrects image perspective before feeding characters to Tesseract OCR. While effective for high-contrast flat imagery, camera OBR fundamentally measures 2D luminance contrast rather than 3D physical relief, making it susceptible to printed ink markings, colored backgrounds, and shadow distortion [18]–[22].</w:t>
      </w:r>
    </w:p>
    <w:p>
      <w:pPr>
        <w:keepNext/>
        <w:spacing w:before="160" w:after="40"/>
        <w:jc w:val="left"/>
      </w:pPr>
      <w:r>
        <w:rPr>
          <w:rFonts w:ascii="Times New Roman" w:hAnsi="Times New Roman"/>
          <w:b/>
          <w:i/>
          <w:color w:val="000000"/>
          <w:sz w:val="19"/>
        </w:rPr>
        <w:t>B. Contact-Based &amp; Micro-Optical Tactile Sensors</w:t>
      </w:r>
    </w:p>
    <w:p>
      <w:r>
        <w:t>Direct tactile transducers physically measure surface displacement. Wang et al. [2] demonstrated an optical tactile sensor based on a flexible optical fiber ring resonator, detecting resonant wavelength shifts (Δλ) under mechanical contact pressure. Cheng et al. [3] fabricated GaN micro-optical devices with integrated epoxy lenses for proximity detection. Vaidyaraman et al. [25] simulated a memristive Bidirectional Associative Memory (BAM) crossbar in SPICE, while Gayathri et al. [14] built an electromechanical motorized cell. Although accurate, these systems involve complex microfabrication or delicate moving parts [23]–[26].</w:t>
      </w:r>
    </w:p>
    <w:p>
      <w:pPr>
        <w:keepNext/>
        <w:spacing w:before="160" w:after="40"/>
        <w:jc w:val="left"/>
      </w:pPr>
      <w:r>
        <w:rPr>
          <w:rFonts w:ascii="Times New Roman" w:hAnsi="Times New Roman"/>
          <w:b/>
          <w:i/>
          <w:color w:val="000000"/>
          <w:sz w:val="19"/>
        </w:rPr>
        <w:t>C. Discrete Reflective Infrared Systems</w:t>
      </w:r>
    </w:p>
    <w:p>
      <w:r>
        <w:t>Prior discrete optoelectronic readers (e.g., Roslan [5], Kim et al. [4]) arranged discrete phototransistors with parallel LED illumination and static hardware comparators (LM393). These designs operated under the restrictive assumption of black dots on white paper. When applied to real monochromatic white Braille, static binary comparators fail because diffuse backscatter modulation is subtle and easily obscured by optical crosstalk and ambient baseline shift [7], [8].</w:t>
      </w:r>
    </w:p>
    <w:p>
      <w:pPr>
        <w:keepNext/>
        <w:spacing w:before="220" w:after="60"/>
        <w:jc w:val="center"/>
      </w:pPr>
      <w:r>
        <w:rPr>
          <w:rFonts w:ascii="Times New Roman" w:hAnsi="Times New Roman"/>
          <w:b/>
          <w:color w:val="000000"/>
          <w:sz w:val="21"/>
        </w:rPr>
        <w:t>III. AUDIT OF EXISTING BASELINE SYSTEM</w:t>
      </w:r>
    </w:p>
    <w:p>
      <w:r>
        <w:t>To establish scientific integrity, we critically audit the technical baseline described in our initial paper [1]. The baseline system consisted of:</w:t>
      </w:r>
    </w:p>
    <w:p>
      <w:pPr>
        <w:pStyle w:val="ListBullet"/>
      </w:pPr>
      <w:r>
        <w:t>An 8-bit ATmega328P MCU (16 MHz) on an Arduino Nano board.</w:t>
      </w:r>
    </w:p>
    <w:p>
      <w:pPr>
        <w:pStyle w:val="ListBullet"/>
      </w:pPr>
      <w:r>
        <w:t>Six commercial TCRT5000 breakout modules arranged in a 3×2 grid.</w:t>
      </w:r>
    </w:p>
    <w:p>
      <w:pPr>
        <w:pStyle w:val="ListBullet"/>
      </w:pPr>
      <w:r>
        <w:t>Digital-Output (DO) mode utilizing onboard LM393 comparators and trim potentiometers, connected to GPIO pins D2–D7.</w:t>
      </w:r>
    </w:p>
    <w:p>
      <w:pPr>
        <w:pStyle w:val="ListBullet"/>
      </w:pPr>
      <w:r>
        <w:t>Analog Output (AO) pins completely unconnected.</w:t>
      </w:r>
    </w:p>
    <w:p>
      <w:pPr>
        <w:pStyle w:val="ListBullet"/>
      </w:pPr>
      <w:r>
        <w:t>Static struct-based lookup table decoding on an I2C 16×2 LCD (A4/A5).</w:t>
      </w:r>
    </w:p>
    <w:p>
      <w:pPr>
        <w:keepNext/>
        <w:spacing w:before="160" w:after="40"/>
        <w:jc w:val="left"/>
      </w:pPr>
      <w:r>
        <w:rPr>
          <w:rFonts w:ascii="Times New Roman" w:hAnsi="Times New Roman"/>
          <w:b/>
          <w:i/>
          <w:color w:val="000000"/>
          <w:sz w:val="19"/>
        </w:rPr>
        <w:t>A. Critical Deficiencies of the Baseline</w:t>
      </w:r>
    </w:p>
    <w:p>
      <w:r>
        <w:rPr>
          <w:b/>
        </w:rPr>
        <w:t xml:space="preserve">1. Reliance on 2D Optical Contrast: </w:t>
      </w:r>
      <w:r>
        <w:t>The baseline calibration protocol [1] explicitly required adjusting potentiometers using a 'black test dot' on white paper. The system measured absorption of black ink (high DO state) rather than physical 3D dome elevation. On monochromatic white cardstock, the albedo difference between a flat sheet and an embossed dome is virtually identical, causing total loss of binary detection.</w:t>
      </w:r>
    </w:p>
    <w:p>
      <w:r>
        <w:rPr>
          <w:b/>
        </w:rPr>
        <w:t xml:space="preserve">2. Severe Optical Crosstalk: </w:t>
      </w:r>
      <w:r>
        <w:t>Standard TCRT5000 IR LEDs exhibit a ±17° emission half-angle. At an inter-sensor pitch of 2.50 mm and 3–5 mm standoff, optical beam overlap exceeds 6.0 mm, flooding adjacent phototransistors with continuous background flux and triggering false comparator transitions.</w:t>
      </w:r>
    </w:p>
    <w:p>
      <w:r>
        <w:rPr>
          <w:b/>
        </w:rPr>
        <w:t xml:space="preserve">3. Brittle Comparator Thresholding: </w:t>
      </w:r>
      <w:r>
        <w:t>Fixed potentiometer thresholds cannot adapt to paper thickness variations, surface yellowing, or slight manual tilt, leading to catastrophic character rejection during manual reading.</w:t>
      </w:r>
    </w:p>
    <w:p>
      <w:pPr>
        <w:keepNext/>
        <w:spacing w:before="220" w:after="60"/>
        <w:jc w:val="center"/>
      </w:pPr>
      <w:r>
        <w:rPr>
          <w:rFonts w:ascii="Times New Roman" w:hAnsi="Times New Roman"/>
          <w:b/>
          <w:color w:val="000000"/>
          <w:sz w:val="21"/>
        </w:rPr>
        <w:t>IV. RESEARCH GAP AND EXTENDED ARCHITECTURE</w:t>
      </w:r>
    </w:p>
    <w:p>
      <w:r>
        <w:t>The identified research gap is the absence of an ultra-low-power, camera-free optoelectronic architecture capable of extracting genuine 3D tactile relief from monochromatic white Braille on resource-constrained 8-bit microcontrollers. We formulate three core research hypotheses:</w:t>
      </w:r>
    </w:p>
    <w:p>
      <w:pPr>
        <w:pStyle w:val="ListBullet"/>
      </w:pPr>
      <w:r>
        <w:rPr>
          <w:b/>
        </w:rPr>
        <w:t xml:space="preserve">Hypothesis 1 (Active Analog Acquisition): </w:t>
      </w:r>
      <w:r>
        <w:t>Tapping the continuous analog output (AO) of the TCRT5000 phototransistor provides rich, multi-bit radiometric data capturing subtle microamp photocurrent variations.</w:t>
      </w:r>
    </w:p>
    <w:p>
      <w:pPr>
        <w:pStyle w:val="ListBullet"/>
      </w:pPr>
      <w:r>
        <w:rPr>
          <w:b/>
        </w:rPr>
        <w:t xml:space="preserve">Hypothesis 2 (Directional Cross-Scatter Asymmetry): </w:t>
      </w:r>
      <w:r>
        <w:t>While flat paper maintains optical symmetry under Helmholtz reciprocity (S_ij ≈ S_ji), an embossed Braille dome (h = 0.48 mm) tilts reflective facets toward adjacent sensors, generating a measurable directional cross-scatter differential under sequential emitter excitation.</w:t>
      </w:r>
    </w:p>
    <w:p>
      <w:pPr>
        <w:pStyle w:val="ListBullet"/>
      </w:pPr>
      <w:r>
        <w:rPr>
          <w:b/>
        </w:rPr>
        <w:t xml:space="preserve">Hypothesis 3 (Albedo Invariance via Ratio Normalization): </w:t>
      </w:r>
      <w:r>
        <w:t>Normalizing cross-scatter differentials through the Antisymmetric Normalized Cross-Scatter Ratio (ANCSR) suppresses uniform surface reflectance variations (paper color, ink, stains).</w:t>
      </w:r>
    </w:p>
    <w:p>
      <w:pPr>
        <w:keepNext/>
        <w:spacing w:before="220" w:after="60"/>
        <w:jc w:val="center"/>
      </w:pPr>
      <w:r>
        <w:rPr>
          <w:rFonts w:ascii="Times New Roman" w:hAnsi="Times New Roman"/>
          <w:b/>
          <w:color w:val="000000"/>
          <w:sz w:val="21"/>
        </w:rPr>
        <w:t>V. HARDWARE IMPLEMENTATION</w:t>
      </w:r>
    </w:p>
    <w:p>
      <w:r>
        <w:t>The hardware architecture transitions from uncoordinated parallel sensing to a synchronized multi-channel optoelectronic front-end:</w:t>
      </w:r>
    </w:p>
    <w:p>
      <w:pPr>
        <w:keepNext/>
        <w:spacing w:before="160" w:after="40"/>
        <w:jc w:val="left"/>
      </w:pPr>
      <w:r>
        <w:rPr>
          <w:rFonts w:ascii="Times New Roman" w:hAnsi="Times New Roman"/>
          <w:b/>
          <w:i/>
          <w:color w:val="000000"/>
          <w:sz w:val="19"/>
        </w:rPr>
        <w:t>A. Active Multi-Emitter Circuit Topology</w:t>
      </w:r>
    </w:p>
    <w:p>
      <w:r>
        <w:t>On standard breakout modules, the IR LED is hardwired to VCC via resistor R1 (150 Ω). We desolder R1 and route each LED anode independently to Arduino GPIO pins D2–D7 through 180 Ω series resistors (limiting peak pulse current to I_F ≈ 20.8 mA, fully compliant with the 40 mA ATmega328P pin limit). The six phototransistor collector outputs are routed directly to analog ADC multiplexer channels A0, A1, A2, A3, A6, A7 [37].</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92"/>
        <w:gridCol w:w="2592"/>
        <w:gridCol w:w="2592"/>
        <w:gridCol w:w="2592"/>
      </w:tblGrid>
      <w:tr>
        <w:tc>
          <w:tcPr>
            <w:tcW w:type="dxa" w:w="1152"/>
            <w:shd w:fill="E5E5E5"/>
            <w:tcMar>
              <w:top w:w="60" w:type="dxa"/>
              <w:bottom w:w="60" w:type="dxa"/>
              <w:left w:w="60" w:type="dxa"/>
              <w:right w:w="60" w:type="dxa"/>
            </w:tcMar>
          </w:tcPr>
          <w:p>
            <w:pPr>
              <w:spacing w:before="0" w:after="0"/>
            </w:pPr>
            <w:r>
              <w:rPr>
                <w:rFonts w:ascii="Times New Roman" w:hAnsi="Times New Roman"/>
                <w:b/>
                <w:color w:val="000000"/>
                <w:sz w:val="16"/>
              </w:rPr>
              <w:t>Transducer</w:t>
            </w:r>
          </w:p>
        </w:tc>
        <w:tc>
          <w:tcPr>
            <w:tcW w:type="dxa" w:w="1152"/>
            <w:shd w:fill="E5E5E5"/>
            <w:tcMar>
              <w:top w:w="60" w:type="dxa"/>
              <w:bottom w:w="60" w:type="dxa"/>
              <w:left w:w="60" w:type="dxa"/>
              <w:right w:w="60" w:type="dxa"/>
            </w:tcMar>
          </w:tcPr>
          <w:p>
            <w:pPr>
              <w:spacing w:before="0" w:after="0"/>
            </w:pPr>
            <w:r>
              <w:rPr>
                <w:rFonts w:ascii="Times New Roman" w:hAnsi="Times New Roman"/>
                <w:b/>
                <w:color w:val="000000"/>
                <w:sz w:val="16"/>
              </w:rPr>
              <w:t>Braille Node</w:t>
            </w:r>
          </w:p>
        </w:tc>
        <w:tc>
          <w:tcPr>
            <w:tcW w:type="dxa" w:w="1152"/>
            <w:shd w:fill="E5E5E5"/>
            <w:tcMar>
              <w:top w:w="60" w:type="dxa"/>
              <w:bottom w:w="60" w:type="dxa"/>
              <w:left w:w="60" w:type="dxa"/>
              <w:right w:w="60" w:type="dxa"/>
            </w:tcMar>
          </w:tcPr>
          <w:p>
            <w:pPr>
              <w:spacing w:before="0" w:after="0"/>
            </w:pPr>
            <w:r>
              <w:rPr>
                <w:rFonts w:ascii="Times New Roman" w:hAnsi="Times New Roman"/>
                <w:b/>
                <w:color w:val="000000"/>
                <w:sz w:val="16"/>
              </w:rPr>
              <w:t>Arduino Pin</w:t>
            </w:r>
          </w:p>
        </w:tc>
        <w:tc>
          <w:tcPr>
            <w:tcW w:type="dxa" w:w="1512"/>
            <w:shd w:fill="E5E5E5"/>
            <w:tcMar>
              <w:top w:w="60" w:type="dxa"/>
              <w:bottom w:w="60" w:type="dxa"/>
              <w:left w:w="60" w:type="dxa"/>
              <w:right w:w="60" w:type="dxa"/>
            </w:tcMar>
          </w:tcPr>
          <w:p>
            <w:pPr>
              <w:spacing w:before="0" w:after="0"/>
            </w:pPr>
            <w:r>
              <w:rPr>
                <w:rFonts w:ascii="Times New Roman" w:hAnsi="Times New Roman"/>
                <w:b/>
                <w:color w:val="000000"/>
                <w:sz w:val="16"/>
              </w:rPr>
              <w:t>Operating Mode</w:t>
            </w:r>
          </w:p>
        </w:tc>
      </w:tr>
      <w:tr>
        <w:tc>
          <w:tcPr>
            <w:tcW w:type="dxa" w:w="1152"/>
            <w:shd w:fill="FFFFFF"/>
            <w:tcMar>
              <w:top w:w="50" w:type="dxa"/>
              <w:bottom w:w="50" w:type="dxa"/>
              <w:left w:w="60" w:type="dxa"/>
              <w:right w:w="60" w:type="dxa"/>
            </w:tcMar>
          </w:tcPr>
          <w:p>
            <w:pPr>
              <w:spacing w:before="0" w:after="0"/>
            </w:pPr>
            <w:r>
              <w:rPr>
                <w:rFonts w:ascii="Times New Roman" w:hAnsi="Times New Roman"/>
                <w:b/>
                <w:color w:val="000000"/>
                <w:sz w:val="15"/>
              </w:rPr>
              <w:t>Sensor S1</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Dot 1 (Top Left)</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D2 (Pulse) / A0 (ADC0)</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Active Pulse / Analog Read</w:t>
            </w:r>
          </w:p>
        </w:tc>
      </w:tr>
      <w:tr>
        <w:tc>
          <w:tcPr>
            <w:tcW w:type="dxa" w:w="1152"/>
            <w:shd w:fill="F9F9F9"/>
            <w:tcMar>
              <w:top w:w="50" w:type="dxa"/>
              <w:bottom w:w="50" w:type="dxa"/>
              <w:left w:w="60" w:type="dxa"/>
              <w:right w:w="60" w:type="dxa"/>
            </w:tcMar>
          </w:tcPr>
          <w:p>
            <w:pPr>
              <w:spacing w:before="0" w:after="0"/>
            </w:pPr>
            <w:r>
              <w:rPr>
                <w:rFonts w:ascii="Times New Roman" w:hAnsi="Times New Roman"/>
                <w:b/>
                <w:color w:val="000000"/>
                <w:sz w:val="15"/>
              </w:rPr>
              <w:t>Sensor S2</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Dot 2 (Mid Left)</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D3 (Pulse) / A1 (ADC1)</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Active Pulse / Analog Read</w:t>
            </w:r>
          </w:p>
        </w:tc>
      </w:tr>
      <w:tr>
        <w:tc>
          <w:tcPr>
            <w:tcW w:type="dxa" w:w="1152"/>
            <w:shd w:fill="FFFFFF"/>
            <w:tcMar>
              <w:top w:w="50" w:type="dxa"/>
              <w:bottom w:w="50" w:type="dxa"/>
              <w:left w:w="60" w:type="dxa"/>
              <w:right w:w="60" w:type="dxa"/>
            </w:tcMar>
          </w:tcPr>
          <w:p>
            <w:pPr>
              <w:spacing w:before="0" w:after="0"/>
            </w:pPr>
            <w:r>
              <w:rPr>
                <w:rFonts w:ascii="Times New Roman" w:hAnsi="Times New Roman"/>
                <w:b/>
                <w:color w:val="000000"/>
                <w:sz w:val="15"/>
              </w:rPr>
              <w:t>Sensor S3</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Dot 3 (Bot Left)</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D4 (Pulse) / A2 (ADC2)</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Active Pulse / Analog Read</w:t>
            </w:r>
          </w:p>
        </w:tc>
      </w:tr>
      <w:tr>
        <w:tc>
          <w:tcPr>
            <w:tcW w:type="dxa" w:w="1152"/>
            <w:shd w:fill="F9F9F9"/>
            <w:tcMar>
              <w:top w:w="50" w:type="dxa"/>
              <w:bottom w:w="50" w:type="dxa"/>
              <w:left w:w="60" w:type="dxa"/>
              <w:right w:w="60" w:type="dxa"/>
            </w:tcMar>
          </w:tcPr>
          <w:p>
            <w:pPr>
              <w:spacing w:before="0" w:after="0"/>
            </w:pPr>
            <w:r>
              <w:rPr>
                <w:rFonts w:ascii="Times New Roman" w:hAnsi="Times New Roman"/>
                <w:b/>
                <w:color w:val="000000"/>
                <w:sz w:val="15"/>
              </w:rPr>
              <w:t>Sensor S4</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Dot 4 (Top Right)</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D5 (Pulse) / A3 (ADC3)</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Active Pulse / Analog Read</w:t>
            </w:r>
          </w:p>
        </w:tc>
      </w:tr>
      <w:tr>
        <w:tc>
          <w:tcPr>
            <w:tcW w:type="dxa" w:w="1152"/>
            <w:shd w:fill="FFFFFF"/>
            <w:tcMar>
              <w:top w:w="50" w:type="dxa"/>
              <w:bottom w:w="50" w:type="dxa"/>
              <w:left w:w="60" w:type="dxa"/>
              <w:right w:w="60" w:type="dxa"/>
            </w:tcMar>
          </w:tcPr>
          <w:p>
            <w:pPr>
              <w:spacing w:before="0" w:after="0"/>
            </w:pPr>
            <w:r>
              <w:rPr>
                <w:rFonts w:ascii="Times New Roman" w:hAnsi="Times New Roman"/>
                <w:b/>
                <w:color w:val="000000"/>
                <w:sz w:val="15"/>
              </w:rPr>
              <w:t>Sensor S5</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Dot 5 (Mid Right)</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D6 (Pulse) / A6 (ADC6)</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Active Pulse / Analog Read</w:t>
            </w:r>
          </w:p>
        </w:tc>
      </w:tr>
      <w:tr>
        <w:tc>
          <w:tcPr>
            <w:tcW w:type="dxa" w:w="1152"/>
            <w:shd w:fill="F9F9F9"/>
            <w:tcMar>
              <w:top w:w="50" w:type="dxa"/>
              <w:bottom w:w="50" w:type="dxa"/>
              <w:left w:w="60" w:type="dxa"/>
              <w:right w:w="60" w:type="dxa"/>
            </w:tcMar>
          </w:tcPr>
          <w:p>
            <w:pPr>
              <w:spacing w:before="0" w:after="0"/>
            </w:pPr>
            <w:r>
              <w:rPr>
                <w:rFonts w:ascii="Times New Roman" w:hAnsi="Times New Roman"/>
                <w:b/>
                <w:color w:val="000000"/>
                <w:sz w:val="15"/>
              </w:rPr>
              <w:t>Sensor S6</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Dot 6 (Bot Right)</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D7 (Pulse) / A7 (ADC7)</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Active Pulse / Analog Read</w:t>
            </w:r>
          </w:p>
        </w:tc>
      </w:tr>
      <w:tr>
        <w:tc>
          <w:tcPr>
            <w:tcW w:type="dxa" w:w="1152"/>
            <w:shd w:fill="FFFFFF"/>
            <w:tcMar>
              <w:top w:w="50" w:type="dxa"/>
              <w:bottom w:w="50" w:type="dxa"/>
              <w:left w:w="60" w:type="dxa"/>
              <w:right w:w="60" w:type="dxa"/>
            </w:tcMar>
          </w:tcPr>
          <w:p>
            <w:pPr>
              <w:spacing w:before="0" w:after="0"/>
            </w:pPr>
            <w:r>
              <w:rPr>
                <w:rFonts w:ascii="Times New Roman" w:hAnsi="Times New Roman"/>
                <w:b/>
                <w:color w:val="000000"/>
                <w:sz w:val="15"/>
              </w:rPr>
              <w:t>I2C LCD Display</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User Interface</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A4 (SDA) / A5 (SCL)</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Hardware TWI @ 100 kHz</w:t>
            </w:r>
          </w:p>
        </w:tc>
      </w:tr>
    </w:tbl>
    <w:p>
      <w:pPr>
        <w:spacing w:after="60"/>
      </w:pPr>
    </w:p>
    <w:p>
      <w:pPr>
        <w:keepNext/>
        <w:spacing w:before="160" w:after="40"/>
        <w:jc w:val="left"/>
      </w:pPr>
      <w:r>
        <w:rPr>
          <w:rFonts w:ascii="Times New Roman" w:hAnsi="Times New Roman"/>
          <w:b/>
          <w:i/>
          <w:color w:val="000000"/>
          <w:sz w:val="19"/>
        </w:rPr>
        <w:t>B. Micro-Aperture Spatial Collimator (MASC)</w:t>
      </w:r>
    </w:p>
    <w:p>
      <w:r>
        <w:t>To eliminate optical crosstalk across the 2.50 mm Braille pitch, a precision 3D-printed collimation mask featuring six 1.2 mm cylindrical apertures is positioned 1.0 mm above the sensor epoxy lenses. This restricts the optical beam acceptance cone from ±15° down to ±6.5°, confining the active spot (d_spot ≈ 1.62 mm) directly onto individual 1.44 mm Braille dots.</w:t>
      </w:r>
    </w:p>
    <w:p>
      <w:pPr>
        <w:keepNext/>
        <w:spacing w:before="220" w:after="60"/>
        <w:jc w:val="center"/>
      </w:pPr>
      <w:r>
        <w:rPr>
          <w:rFonts w:ascii="Times New Roman" w:hAnsi="Times New Roman"/>
          <w:b/>
          <w:color w:val="000000"/>
          <w:sz w:val="21"/>
        </w:rPr>
        <w:t>VI. ALGORITHM &amp; MATHEMATICAL FORMULATION</w:t>
      </w:r>
    </w:p>
    <w:p>
      <w:pPr>
        <w:keepNext/>
        <w:spacing w:before="160" w:after="40"/>
        <w:jc w:val="left"/>
      </w:pPr>
      <w:r>
        <w:rPr>
          <w:rFonts w:ascii="Times New Roman" w:hAnsi="Times New Roman"/>
          <w:b/>
          <w:i/>
          <w:color w:val="000000"/>
          <w:sz w:val="19"/>
        </w:rPr>
        <w:t>A. Acquisition &amp; Ambient Cancellation Protocol</w:t>
      </w:r>
    </w:p>
    <w:p>
      <w:r>
        <w:t>Each scanning frame executes a two-phase Correlated Double Sampling (CDS) sequence to eliminate ambient DC lighting:</w:t>
      </w:r>
    </w:p>
    <w:p>
      <w:pPr>
        <w:pStyle w:val="ListBullet"/>
      </w:pPr>
      <w:r>
        <w:t>Phase 1 (Ambient Baseline): All LEDs OFF; sample baseline ambient voltages R_i = analogRead(A_i) for i ∈ {1..6} (6 ADC conversions).</w:t>
      </w:r>
    </w:p>
    <w:p>
      <w:pPr>
        <w:pStyle w:val="ListBullet"/>
      </w:pPr>
      <w:r>
        <w:t>Phase 2 (Active Matrix Interrogation): Sequentially pulse LED j ∈ {1..6}; for each active emitter, sample all detectors i ∈ {1..6}, recording raw voltages V_ij (36 ADC conversions).</w:t>
      </w:r>
    </w:p>
    <w:p>
      <w:r>
        <w:t>The ambient-subtracted 6×6 transfer matrix S ∈ ℝ^(6×6) is formed as:</w:t>
      </w:r>
    </w:p>
    <w:tbl>
      <w:tblPr>
        <w:tblW w:type="auto" w:w="0"/>
        <w:jc w:val="center"/>
        <w:tblLayout w:type="fixed"/>
        <w:tblLook w:firstColumn="1" w:firstRow="1" w:lastColumn="0" w:lastRow="0" w:noHBand="0" w:noVBand="1" w:val="04A0"/>
      </w:tblPr>
      <w:tblGrid>
        <w:gridCol w:w="4968"/>
      </w:tblGrid>
      <w:tr>
        <w:tc>
          <w:tcPr>
            <w:tcW w:type="dxa" w:w="10368"/>
            <w:shd w:fill="F5F5F5"/>
            <w:tcMar>
              <w:top w:w="60" w:type="dxa"/>
              <w:bottom w:w="60" w:type="dxa"/>
              <w:left w:w="80" w:type="dxa"/>
              <w:right w:w="80" w:type="dxa"/>
            </w:tcMar>
            <w:tcBorders>
              <w:top w:val="single" w:sz="4" w:space="0" w:color="666666"/>
              <w:bottom w:val="single" w:sz="4" w:space="0" w:color="666666"/>
              <w:left w:val="single" w:sz="12" w:space="0" w:color="000000"/>
              <w:right w:val="single" w:sz="4" w:space="0" w:color="666666"/>
            </w:tcBorders>
          </w:tcPr>
          <w:p>
            <w:pPr>
              <w:spacing w:before="0" w:after="0" w:line="240" w:lineRule="auto"/>
            </w:pPr>
            <w:r>
              <w:rPr>
                <w:rFonts w:ascii="Consolas" w:hAnsi="Consolas"/>
                <w:color w:val="000000"/>
                <w:sz w:val="15"/>
              </w:rPr>
              <w:t>S_ij = max(0, V_ij - R_i)                           (1)</w:t>
              <w:br/>
              <w:br/>
              <w:t>Total conversions per frame: 6 + 36 = 42 conversions</w:t>
            </w:r>
          </w:p>
        </w:tc>
      </w:tr>
    </w:tbl>
    <w:p>
      <w:pPr>
        <w:spacing w:after="40"/>
      </w:pPr>
    </w:p>
    <w:p>
      <w:pPr>
        <w:keepNext/>
        <w:spacing w:before="160" w:after="40"/>
        <w:jc w:val="left"/>
      </w:pPr>
      <w:r>
        <w:rPr>
          <w:rFonts w:ascii="Times New Roman" w:hAnsi="Times New Roman"/>
          <w:b/>
          <w:i/>
          <w:color w:val="000000"/>
          <w:sz w:val="19"/>
        </w:rPr>
        <w:t>B. Topographic Gradient &amp; ANCSR Formulation</w:t>
      </w:r>
    </w:p>
    <w:p>
      <w:r>
        <w:t>On flat paper, optical reciprocity guarantees S_ij ≈ S_ji. When an embossed dot is present at node k, proximity compression and facet tilting elevate S_kj relative to S_jk. We define the Antisymmetric Normalized Cross-Scatter Ratio (ANCSR) feature vector Δ = [Δ_1, ..., Δ_6]^T:</w:t>
      </w:r>
    </w:p>
    <w:tbl>
      <w:tblPr>
        <w:tblW w:type="auto" w:w="0"/>
        <w:jc w:val="center"/>
        <w:tblLayout w:type="fixed"/>
        <w:tblLook w:firstColumn="1" w:firstRow="1" w:lastColumn="0" w:lastRow="0" w:noHBand="0" w:noVBand="1" w:val="04A0"/>
      </w:tblPr>
      <w:tblGrid>
        <w:gridCol w:w="4968"/>
      </w:tblGrid>
      <w:tr>
        <w:tc>
          <w:tcPr>
            <w:tcW w:type="dxa" w:w="10368"/>
            <w:shd w:fill="F5F5F5"/>
            <w:tcMar>
              <w:top w:w="60" w:type="dxa"/>
              <w:bottom w:w="60" w:type="dxa"/>
              <w:left w:w="80" w:type="dxa"/>
              <w:right w:w="80" w:type="dxa"/>
            </w:tcMar>
            <w:tcBorders>
              <w:top w:val="single" w:sz="4" w:space="0" w:color="666666"/>
              <w:bottom w:val="single" w:sz="4" w:space="0" w:color="666666"/>
              <w:left w:val="single" w:sz="12" w:space="0" w:color="000000"/>
              <w:right w:val="single" w:sz="4" w:space="0" w:color="666666"/>
            </w:tcBorders>
          </w:tcPr>
          <w:p>
            <w:pPr>
              <w:spacing w:before="0" w:after="0" w:line="240" w:lineRule="auto"/>
            </w:pPr>
            <w:r>
              <w:rPr>
                <w:rFonts w:ascii="Consolas" w:hAnsi="Consolas"/>
                <w:color w:val="000000"/>
                <w:sz w:val="15"/>
              </w:rPr>
              <w:t xml:space="preserve">            Σ      [ (S_kj - S_jk) / (S_kj + S_jk + ε) ]</w:t>
              <w:br/>
              <w:t>Δ_k  =   j ∈ N(k)</w:t>
              <w:br/>
              <w:t xml:space="preserve">         --------------------------------------------------   (2)</w:t>
              <w:br/>
              <w:t xml:space="preserve">                              |N(k)|</w:t>
              <w:br/>
              <w:br/>
              <w:t>Where:</w:t>
              <w:br/>
              <w:t xml:space="preserve">  • N(k) = Set of orthogonal spatial neighbors of dot k</w:t>
              <w:br/>
              <w:t xml:space="preserve">  • ε = Regularization constant (5 counts) against div/0</w:t>
            </w:r>
          </w:p>
        </w:tc>
      </w:tr>
    </w:tbl>
    <w:p>
      <w:pPr>
        <w:spacing w:after="40"/>
      </w:pPr>
    </w:p>
    <w:p>
      <w:r>
        <w:rPr>
          <w:b/>
        </w:rPr>
        <w:t xml:space="preserve">Proof of Albedo Invariance: </w:t>
      </w:r>
      <w:r>
        <w:t>Let paper reflectance be α. The measured signals scale as S_kj = α · S_kj^(geom) and S_jk = α · S_jk^(geom). In (2), α factors out identically: [α(S_kj - S_jk)] / [α(S_kj + S_jk) + ε] ≈ (S_kj - S_jk)/(S_kj + S_jk), providing first-order immunity against paper yellowing and ink markings.</w:t>
      </w:r>
    </w:p>
    <w:p>
      <w:pPr>
        <w:keepNext/>
        <w:spacing w:before="160" w:after="40"/>
        <w:jc w:val="left"/>
      </w:pPr>
      <w:r>
        <w:rPr>
          <w:rFonts w:ascii="Times New Roman" w:hAnsi="Times New Roman"/>
          <w:b/>
          <w:i/>
          <w:color w:val="000000"/>
          <w:sz w:val="19"/>
        </w:rPr>
        <w:t>C. Soft-Decision Metric Decoding (SDMD)</w:t>
      </w:r>
    </w:p>
    <w:p>
      <w:r>
        <w:t>The vector Δ is normalized to 8-bit fixed-point space γ ∈ [0, 255]^6 and matched against stored Grade-1 Braille codewords T_m using integer L1 Manhattan distance:</w:t>
      </w:r>
    </w:p>
    <w:tbl>
      <w:tblPr>
        <w:tblW w:type="auto" w:w="0"/>
        <w:jc w:val="center"/>
        <w:tblLayout w:type="fixed"/>
        <w:tblLook w:firstColumn="1" w:firstRow="1" w:lastColumn="0" w:lastRow="0" w:noHBand="0" w:noVBand="1" w:val="04A0"/>
      </w:tblPr>
      <w:tblGrid>
        <w:gridCol w:w="4968"/>
      </w:tblGrid>
      <w:tr>
        <w:tc>
          <w:tcPr>
            <w:tcW w:type="dxa" w:w="10368"/>
            <w:shd w:fill="F5F5F5"/>
            <w:tcMar>
              <w:top w:w="60" w:type="dxa"/>
              <w:bottom w:w="60" w:type="dxa"/>
              <w:left w:w="80" w:type="dxa"/>
              <w:right w:w="80" w:type="dxa"/>
            </w:tcMar>
            <w:tcBorders>
              <w:top w:val="single" w:sz="4" w:space="0" w:color="666666"/>
              <w:bottom w:val="single" w:sz="4" w:space="0" w:color="666666"/>
              <w:left w:val="single" w:sz="12" w:space="0" w:color="000000"/>
              <w:right w:val="single" w:sz="4" w:space="0" w:color="666666"/>
            </w:tcBorders>
          </w:tcPr>
          <w:p>
            <w:pPr>
              <w:spacing w:before="0" w:after="0" w:line="240" w:lineRule="auto"/>
            </w:pPr>
            <w:r>
              <w:rPr>
                <w:rFonts w:ascii="Consolas" w:hAnsi="Consolas"/>
                <w:color w:val="000000"/>
                <w:sz w:val="15"/>
              </w:rPr>
              <w:t>D(γ, T_m) = Σ_{r=0..5} | γ_r - (T_m,r * 255) |       (3)</w:t>
              <w:br/>
              <w:br/>
              <w:t>Validation Criteria:</w:t>
              <w:br/>
              <w:t xml:space="preserve">  • Best Metric: D_min &lt; Θ_reject (450)</w:t>
              <w:br/>
              <w:t xml:space="preserve">  • Margin Gate: D_second - D_first ≥ Δ_margin (100)</w:t>
            </w:r>
          </w:p>
        </w:tc>
      </w:tr>
    </w:tbl>
    <w:p>
      <w:pPr>
        <w:spacing w:after="40"/>
      </w:pPr>
    </w:p>
    <w:p>
      <w:pPr>
        <w:keepNext/>
        <w:spacing w:before="220" w:after="60"/>
        <w:jc w:val="center"/>
      </w:pPr>
      <w:r>
        <w:rPr>
          <w:rFonts w:ascii="Times New Roman" w:hAnsi="Times New Roman"/>
          <w:b/>
          <w:color w:val="000000"/>
          <w:sz w:val="21"/>
        </w:rPr>
        <w:t>VII. EMBEDDED RESOURCE &amp; TIMING PROFILE</w:t>
      </w:r>
    </w:p>
    <w:p>
      <w:r>
        <w:t>The entire pipeline was compiled for the 8-bit ATmega328P MCU at 16 MHz. Table II summarizes computational and memory benchmarks.</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92"/>
        <w:gridCol w:w="2592"/>
        <w:gridCol w:w="2592"/>
        <w:gridCol w:w="2592"/>
      </w:tblGrid>
      <w:tr>
        <w:tc>
          <w:tcPr>
            <w:tcW w:type="dxa" w:w="1728"/>
            <w:shd w:fill="E5E5E5"/>
            <w:tcMar>
              <w:top w:w="60" w:type="dxa"/>
              <w:bottom w:w="60" w:type="dxa"/>
              <w:left w:w="60" w:type="dxa"/>
              <w:right w:w="60" w:type="dxa"/>
            </w:tcMar>
          </w:tcPr>
          <w:p>
            <w:pPr>
              <w:spacing w:before="0" w:after="0"/>
            </w:pPr>
            <w:r>
              <w:rPr>
                <w:rFonts w:ascii="Times New Roman" w:hAnsi="Times New Roman"/>
                <w:b/>
                <w:color w:val="000000"/>
                <w:sz w:val="16"/>
              </w:rPr>
              <w:t>Firmware Module</w:t>
            </w:r>
          </w:p>
        </w:tc>
        <w:tc>
          <w:tcPr>
            <w:tcW w:type="dxa" w:w="1008"/>
            <w:shd w:fill="E5E5E5"/>
            <w:tcMar>
              <w:top w:w="60" w:type="dxa"/>
              <w:bottom w:w="60" w:type="dxa"/>
              <w:left w:w="60" w:type="dxa"/>
              <w:right w:w="60" w:type="dxa"/>
            </w:tcMar>
          </w:tcPr>
          <w:p>
            <w:pPr>
              <w:spacing w:before="0" w:after="0"/>
            </w:pPr>
            <w:r>
              <w:rPr>
                <w:rFonts w:ascii="Times New Roman" w:hAnsi="Times New Roman"/>
                <w:b/>
                <w:color w:val="000000"/>
                <w:sz w:val="16"/>
              </w:rPr>
              <w:t>Flash</w:t>
            </w:r>
          </w:p>
        </w:tc>
        <w:tc>
          <w:tcPr>
            <w:tcW w:type="dxa" w:w="1008"/>
            <w:shd w:fill="E5E5E5"/>
            <w:tcMar>
              <w:top w:w="60" w:type="dxa"/>
              <w:bottom w:w="60" w:type="dxa"/>
              <w:left w:w="60" w:type="dxa"/>
              <w:right w:w="60" w:type="dxa"/>
            </w:tcMar>
          </w:tcPr>
          <w:p>
            <w:pPr>
              <w:spacing w:before="0" w:after="0"/>
            </w:pPr>
            <w:r>
              <w:rPr>
                <w:rFonts w:ascii="Times New Roman" w:hAnsi="Times New Roman"/>
                <w:b/>
                <w:color w:val="000000"/>
                <w:sz w:val="16"/>
              </w:rPr>
              <w:t>SRAM</w:t>
            </w:r>
          </w:p>
        </w:tc>
        <w:tc>
          <w:tcPr>
            <w:tcW w:type="dxa" w:w="1224"/>
            <w:shd w:fill="E5E5E5"/>
            <w:tcMar>
              <w:top w:w="60" w:type="dxa"/>
              <w:bottom w:w="60" w:type="dxa"/>
              <w:left w:w="60" w:type="dxa"/>
              <w:right w:w="60" w:type="dxa"/>
            </w:tcMar>
          </w:tcPr>
          <w:p>
            <w:pPr>
              <w:spacing w:before="0" w:after="0"/>
            </w:pPr>
            <w:r>
              <w:rPr>
                <w:rFonts w:ascii="Times New Roman" w:hAnsi="Times New Roman"/>
                <w:b/>
                <w:color w:val="000000"/>
                <w:sz w:val="16"/>
              </w:rPr>
              <w:t>Exec. Time</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42-ADC Active Acquisition</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580 B</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18 B</w:t>
            </w:r>
          </w:p>
        </w:tc>
        <w:tc>
          <w:tcPr>
            <w:tcW w:type="dxa" w:w="1224"/>
            <w:shd w:fill="FFFFFF"/>
            <w:tcMar>
              <w:top w:w="50" w:type="dxa"/>
              <w:bottom w:w="50" w:type="dxa"/>
              <w:left w:w="60" w:type="dxa"/>
              <w:right w:w="60" w:type="dxa"/>
            </w:tcMar>
          </w:tcPr>
          <w:p>
            <w:pPr>
              <w:spacing w:before="0" w:after="0"/>
            </w:pPr>
            <w:r>
              <w:rPr>
                <w:rFonts w:ascii="Times New Roman" w:hAnsi="Times New Roman"/>
                <w:color w:val="000000"/>
                <w:sz w:val="15"/>
              </w:rPr>
              <w:t>4.37 ms (125kHz)</w:t>
            </w:r>
          </w:p>
        </w:tc>
      </w:tr>
      <w:tr>
        <w:tc>
          <w:tcPr>
            <w:tcW w:type="dxa" w:w="1728"/>
            <w:shd w:fill="F9F9F9"/>
            <w:tcMar>
              <w:top w:w="50" w:type="dxa"/>
              <w:bottom w:w="50" w:type="dxa"/>
              <w:left w:w="60" w:type="dxa"/>
              <w:right w:w="60" w:type="dxa"/>
            </w:tcMar>
          </w:tcPr>
          <w:p>
            <w:pPr>
              <w:spacing w:before="0" w:after="0"/>
            </w:pPr>
            <w:r>
              <w:rPr>
                <w:rFonts w:ascii="Times New Roman" w:hAnsi="Times New Roman"/>
                <w:b/>
                <w:color w:val="000000"/>
                <w:sz w:val="15"/>
              </w:rPr>
              <w:t>Ambient Baseline Corr.</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140 B</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12 B</w:t>
            </w:r>
          </w:p>
        </w:tc>
        <w:tc>
          <w:tcPr>
            <w:tcW w:type="dxa" w:w="1224"/>
            <w:shd w:fill="F9F9F9"/>
            <w:tcMar>
              <w:top w:w="50" w:type="dxa"/>
              <w:bottom w:w="50" w:type="dxa"/>
              <w:left w:w="60" w:type="dxa"/>
              <w:right w:w="60" w:type="dxa"/>
            </w:tcMar>
          </w:tcPr>
          <w:p>
            <w:pPr>
              <w:spacing w:before="0" w:after="0"/>
            </w:pPr>
            <w:r>
              <w:rPr>
                <w:rFonts w:ascii="Times New Roman" w:hAnsi="Times New Roman"/>
                <w:color w:val="000000"/>
                <w:sz w:val="15"/>
              </w:rPr>
              <w:t>0.05 ms</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ANCSR Ratio Computation</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340 B</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12 B</w:t>
            </w:r>
          </w:p>
        </w:tc>
        <w:tc>
          <w:tcPr>
            <w:tcW w:type="dxa" w:w="1224"/>
            <w:shd w:fill="FFFFFF"/>
            <w:tcMar>
              <w:top w:w="50" w:type="dxa"/>
              <w:bottom w:w="50" w:type="dxa"/>
              <w:left w:w="60" w:type="dxa"/>
              <w:right w:w="60" w:type="dxa"/>
            </w:tcMar>
          </w:tcPr>
          <w:p>
            <w:pPr>
              <w:spacing w:before="0" w:after="0"/>
            </w:pPr>
            <w:r>
              <w:rPr>
                <w:rFonts w:ascii="Times New Roman" w:hAnsi="Times New Roman"/>
                <w:color w:val="000000"/>
                <w:sz w:val="15"/>
              </w:rPr>
              <w:t>0.14 ms</w:t>
            </w:r>
          </w:p>
        </w:tc>
      </w:tr>
      <w:tr>
        <w:tc>
          <w:tcPr>
            <w:tcW w:type="dxa" w:w="1728"/>
            <w:shd w:fill="F9F9F9"/>
            <w:tcMar>
              <w:top w:w="50" w:type="dxa"/>
              <w:bottom w:w="50" w:type="dxa"/>
              <w:left w:w="60" w:type="dxa"/>
              <w:right w:w="60" w:type="dxa"/>
            </w:tcMar>
          </w:tcPr>
          <w:p>
            <w:pPr>
              <w:spacing w:before="0" w:after="0"/>
            </w:pPr>
            <w:r>
              <w:rPr>
                <w:rFonts w:ascii="Times New Roman" w:hAnsi="Times New Roman"/>
                <w:b/>
                <w:color w:val="000000"/>
                <w:sz w:val="15"/>
              </w:rPr>
              <w:t>Fixed-Point Norm.</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190 B</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6 B</w:t>
            </w:r>
          </w:p>
        </w:tc>
        <w:tc>
          <w:tcPr>
            <w:tcW w:type="dxa" w:w="1224"/>
            <w:shd w:fill="F9F9F9"/>
            <w:tcMar>
              <w:top w:w="50" w:type="dxa"/>
              <w:bottom w:w="50" w:type="dxa"/>
              <w:left w:w="60" w:type="dxa"/>
              <w:right w:w="60" w:type="dxa"/>
            </w:tcMar>
          </w:tcPr>
          <w:p>
            <w:pPr>
              <w:spacing w:before="0" w:after="0"/>
            </w:pPr>
            <w:r>
              <w:rPr>
                <w:rFonts w:ascii="Times New Roman" w:hAnsi="Times New Roman"/>
                <w:color w:val="000000"/>
                <w:sz w:val="15"/>
              </w:rPr>
              <w:t>0.06 ms</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26-Codeword SDMD Search</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360 B</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4 B</w:t>
            </w:r>
          </w:p>
        </w:tc>
        <w:tc>
          <w:tcPr>
            <w:tcW w:type="dxa" w:w="1224"/>
            <w:shd w:fill="FFFFFF"/>
            <w:tcMar>
              <w:top w:w="50" w:type="dxa"/>
              <w:bottom w:w="50" w:type="dxa"/>
              <w:left w:w="60" w:type="dxa"/>
              <w:right w:w="60" w:type="dxa"/>
            </w:tcMar>
          </w:tcPr>
          <w:p>
            <w:pPr>
              <w:spacing w:before="0" w:after="0"/>
            </w:pPr>
            <w:r>
              <w:rPr>
                <w:rFonts w:ascii="Times New Roman" w:hAnsi="Times New Roman"/>
                <w:color w:val="000000"/>
                <w:sz w:val="15"/>
              </w:rPr>
              <w:t>0.22 ms</w:t>
            </w:r>
          </w:p>
        </w:tc>
      </w:tr>
      <w:tr>
        <w:tc>
          <w:tcPr>
            <w:tcW w:type="dxa" w:w="1728"/>
            <w:shd w:fill="F9F9F9"/>
            <w:tcMar>
              <w:top w:w="50" w:type="dxa"/>
              <w:bottom w:w="50" w:type="dxa"/>
              <w:left w:w="60" w:type="dxa"/>
              <w:right w:w="60" w:type="dxa"/>
            </w:tcMar>
          </w:tcPr>
          <w:p>
            <w:pPr>
              <w:spacing w:before="0" w:after="0"/>
            </w:pPr>
            <w:r>
              <w:rPr>
                <w:rFonts w:ascii="Times New Roman" w:hAnsi="Times New Roman"/>
                <w:b/>
                <w:color w:val="000000"/>
                <w:sz w:val="15"/>
              </w:rPr>
              <w:t>I2C LCD Driver &amp; Display</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1,840 B</w:t>
            </w:r>
          </w:p>
        </w:tc>
        <w:tc>
          <w:tcPr>
            <w:tcW w:type="dxa" w:w="1008"/>
            <w:shd w:fill="F9F9F9"/>
            <w:tcMar>
              <w:top w:w="50" w:type="dxa"/>
              <w:bottom w:w="50" w:type="dxa"/>
              <w:left w:w="60" w:type="dxa"/>
              <w:right w:w="60" w:type="dxa"/>
            </w:tcMar>
          </w:tcPr>
          <w:p>
            <w:pPr>
              <w:spacing w:before="0" w:after="0"/>
            </w:pPr>
            <w:r>
              <w:rPr>
                <w:rFonts w:ascii="Times New Roman" w:hAnsi="Times New Roman"/>
                <w:color w:val="000000"/>
                <w:sz w:val="15"/>
              </w:rPr>
              <w:t>32 B</w:t>
            </w:r>
          </w:p>
        </w:tc>
        <w:tc>
          <w:tcPr>
            <w:tcW w:type="dxa" w:w="1224"/>
            <w:shd w:fill="F9F9F9"/>
            <w:tcMar>
              <w:top w:w="50" w:type="dxa"/>
              <w:bottom w:w="50" w:type="dxa"/>
              <w:left w:w="60" w:type="dxa"/>
              <w:right w:w="60" w:type="dxa"/>
            </w:tcMar>
          </w:tcPr>
          <w:p>
            <w:pPr>
              <w:spacing w:before="0" w:after="0"/>
            </w:pPr>
            <w:r>
              <w:rPr>
                <w:rFonts w:ascii="Times New Roman" w:hAnsi="Times New Roman"/>
                <w:color w:val="000000"/>
                <w:sz w:val="15"/>
              </w:rPr>
              <w:t>2.80 ms</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Total Pipeline Execution</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3,450 B (10.5%)</w:t>
            </w:r>
          </w:p>
        </w:tc>
        <w:tc>
          <w:tcPr>
            <w:tcW w:type="dxa" w:w="1008"/>
            <w:shd w:fill="FFFFFF"/>
            <w:tcMar>
              <w:top w:w="50" w:type="dxa"/>
              <w:bottom w:w="50" w:type="dxa"/>
              <w:left w:w="60" w:type="dxa"/>
              <w:right w:w="60" w:type="dxa"/>
            </w:tcMar>
          </w:tcPr>
          <w:p>
            <w:pPr>
              <w:spacing w:before="0" w:after="0"/>
            </w:pPr>
            <w:r>
              <w:rPr>
                <w:rFonts w:ascii="Times New Roman" w:hAnsi="Times New Roman"/>
                <w:color w:val="000000"/>
                <w:sz w:val="15"/>
              </w:rPr>
              <w:t>84 B (4.1%)</w:t>
            </w:r>
          </w:p>
        </w:tc>
        <w:tc>
          <w:tcPr>
            <w:tcW w:type="dxa" w:w="1224"/>
            <w:shd w:fill="FFFFFF"/>
            <w:tcMar>
              <w:top w:w="50" w:type="dxa"/>
              <w:bottom w:w="50" w:type="dxa"/>
              <w:left w:w="60" w:type="dxa"/>
              <w:right w:w="60" w:type="dxa"/>
            </w:tcMar>
          </w:tcPr>
          <w:p>
            <w:pPr>
              <w:spacing w:before="0" w:after="0"/>
            </w:pPr>
            <w:r>
              <w:rPr>
                <w:rFonts w:ascii="Times New Roman" w:hAnsi="Times New Roman"/>
                <w:color w:val="000000"/>
                <w:sz w:val="15"/>
              </w:rPr>
              <w:t>4.84 ms (&lt;10ms)</w:t>
            </w:r>
          </w:p>
        </w:tc>
      </w:tr>
    </w:tbl>
    <w:p>
      <w:pPr>
        <w:spacing w:after="60"/>
      </w:pPr>
    </w:p>
    <w:p>
      <w:r>
        <w:t>With a total frame execution time of 4.84 ms (refresh rate ≈ 206 Hz), the system provides &gt;15× oversampling headroom relative to manual reading sweeps (10–15 characters/sec).</w:t>
      </w:r>
    </w:p>
    <w:p>
      <w:pPr>
        <w:keepNext/>
        <w:spacing w:before="220" w:after="60"/>
        <w:jc w:val="center"/>
      </w:pPr>
      <w:r>
        <w:rPr>
          <w:rFonts w:ascii="Times New Roman" w:hAnsi="Times New Roman"/>
          <w:b/>
          <w:color w:val="000000"/>
          <w:sz w:val="21"/>
        </w:rPr>
        <w:t>VIII. SYSTEM COMPARISON TAXONOMY</w:t>
      </w:r>
    </w:p>
    <w:p>
      <w:r>
        <w:t>Table III provides a comprehensive technical comparison across existing Braille acquisition paradigms.</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074"/>
        <w:gridCol w:w="2074"/>
        <w:gridCol w:w="2074"/>
        <w:gridCol w:w="2074"/>
        <w:gridCol w:w="2074"/>
      </w:tblGrid>
      <w:tr>
        <w:tc>
          <w:tcPr>
            <w:tcW w:type="dxa" w:w="1584"/>
            <w:shd w:fill="E5E5E5"/>
            <w:tcMar>
              <w:top w:w="60" w:type="dxa"/>
              <w:bottom w:w="60" w:type="dxa"/>
              <w:left w:w="60" w:type="dxa"/>
              <w:right w:w="60" w:type="dxa"/>
            </w:tcMar>
          </w:tcPr>
          <w:p>
            <w:pPr>
              <w:spacing w:before="0" w:after="0"/>
            </w:pPr>
            <w:r>
              <w:rPr>
                <w:rFonts w:ascii="Times New Roman" w:hAnsi="Times New Roman"/>
                <w:b/>
                <w:color w:val="000000"/>
                <w:sz w:val="16"/>
              </w:rPr>
              <w:t>Architecture</w:t>
            </w:r>
          </w:p>
        </w:tc>
        <w:tc>
          <w:tcPr>
            <w:tcW w:type="dxa" w:w="1152"/>
            <w:shd w:fill="E5E5E5"/>
            <w:tcMar>
              <w:top w:w="60" w:type="dxa"/>
              <w:bottom w:w="60" w:type="dxa"/>
              <w:left w:w="60" w:type="dxa"/>
              <w:right w:w="60" w:type="dxa"/>
            </w:tcMar>
          </w:tcPr>
          <w:p>
            <w:pPr>
              <w:spacing w:before="0" w:after="0"/>
            </w:pPr>
            <w:r>
              <w:rPr>
                <w:rFonts w:ascii="Times New Roman" w:hAnsi="Times New Roman"/>
                <w:b/>
                <w:color w:val="000000"/>
                <w:sz w:val="16"/>
              </w:rPr>
              <w:t>Sensing Mode</w:t>
            </w:r>
          </w:p>
        </w:tc>
        <w:tc>
          <w:tcPr>
            <w:tcW w:type="dxa" w:w="1152"/>
            <w:shd w:fill="E5E5E5"/>
            <w:tcMar>
              <w:top w:w="60" w:type="dxa"/>
              <w:bottom w:w="60" w:type="dxa"/>
              <w:left w:w="60" w:type="dxa"/>
              <w:right w:w="60" w:type="dxa"/>
            </w:tcMar>
          </w:tcPr>
          <w:p>
            <w:pPr>
              <w:spacing w:before="0" w:after="0"/>
            </w:pPr>
            <w:r>
              <w:rPr>
                <w:rFonts w:ascii="Times New Roman" w:hAnsi="Times New Roman"/>
                <w:b/>
                <w:color w:val="000000"/>
                <w:sz w:val="16"/>
              </w:rPr>
              <w:t>Compute Engine</w:t>
            </w:r>
          </w:p>
        </w:tc>
        <w:tc>
          <w:tcPr>
            <w:tcW w:type="dxa" w:w="1152"/>
            <w:shd w:fill="E5E5E5"/>
            <w:tcMar>
              <w:top w:w="60" w:type="dxa"/>
              <w:bottom w:w="60" w:type="dxa"/>
              <w:left w:w="60" w:type="dxa"/>
              <w:right w:w="60" w:type="dxa"/>
            </w:tcMar>
          </w:tcPr>
          <w:p>
            <w:pPr>
              <w:spacing w:before="0" w:after="0"/>
            </w:pPr>
            <w:r>
              <w:rPr>
                <w:rFonts w:ascii="Times New Roman" w:hAnsi="Times New Roman"/>
                <w:b/>
                <w:color w:val="000000"/>
                <w:sz w:val="16"/>
              </w:rPr>
              <w:t>Power / Cost</w:t>
            </w:r>
          </w:p>
        </w:tc>
        <w:tc>
          <w:tcPr>
            <w:tcW w:type="dxa" w:w="1368"/>
            <w:shd w:fill="E5E5E5"/>
            <w:tcMar>
              <w:top w:w="60" w:type="dxa"/>
              <w:bottom w:w="60" w:type="dxa"/>
              <w:left w:w="60" w:type="dxa"/>
              <w:right w:w="60" w:type="dxa"/>
            </w:tcMar>
          </w:tcPr>
          <w:p>
            <w:pPr>
              <w:spacing w:before="0" w:after="0"/>
            </w:pPr>
            <w:r>
              <w:rPr>
                <w:rFonts w:ascii="Times New Roman" w:hAnsi="Times New Roman"/>
                <w:b/>
                <w:color w:val="000000"/>
                <w:sz w:val="16"/>
              </w:rPr>
              <w:t>Monochrome 3D Relief</w:t>
            </w:r>
          </w:p>
        </w:tc>
      </w:tr>
      <w:tr>
        <w:tc>
          <w:tcPr>
            <w:tcW w:type="dxa" w:w="1584"/>
            <w:shd w:fill="FFFFFF"/>
            <w:tcMar>
              <w:top w:w="50" w:type="dxa"/>
              <w:bottom w:w="50" w:type="dxa"/>
              <w:left w:w="60" w:type="dxa"/>
              <w:right w:w="60" w:type="dxa"/>
            </w:tcMar>
          </w:tcPr>
          <w:p>
            <w:pPr>
              <w:spacing w:before="0" w:after="0"/>
            </w:pPr>
            <w:r>
              <w:rPr>
                <w:rFonts w:ascii="Times New Roman" w:hAnsi="Times New Roman"/>
                <w:b/>
                <w:color w:val="000000"/>
                <w:sz w:val="15"/>
              </w:rPr>
              <w:t>Original Baseline [1]</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6× Discrete DO (Binary)</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8-bit ATmega328P</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&lt;120mA / ₹500</w:t>
            </w:r>
          </w:p>
        </w:tc>
        <w:tc>
          <w:tcPr>
            <w:tcW w:type="dxa" w:w="1368"/>
            <w:shd w:fill="FFFFFF"/>
            <w:tcMar>
              <w:top w:w="50" w:type="dxa"/>
              <w:bottom w:w="50" w:type="dxa"/>
              <w:left w:w="60" w:type="dxa"/>
              <w:right w:w="60" w:type="dxa"/>
            </w:tcMar>
          </w:tcPr>
          <w:p>
            <w:pPr>
              <w:spacing w:before="0" w:after="0"/>
            </w:pPr>
            <w:r>
              <w:rPr>
                <w:rFonts w:ascii="Times New Roman" w:hAnsi="Times New Roman"/>
                <w:color w:val="000000"/>
                <w:sz w:val="15"/>
              </w:rPr>
              <w:t>Fails (Needs black ink)</w:t>
            </w:r>
          </w:p>
        </w:tc>
      </w:tr>
      <w:tr>
        <w:tc>
          <w:tcPr>
            <w:tcW w:type="dxa" w:w="1584"/>
            <w:shd w:fill="F9F9F9"/>
            <w:tcMar>
              <w:top w:w="50" w:type="dxa"/>
              <w:bottom w:w="50" w:type="dxa"/>
              <w:left w:w="60" w:type="dxa"/>
              <w:right w:w="60" w:type="dxa"/>
            </w:tcMar>
          </w:tcPr>
          <w:p>
            <w:pPr>
              <w:spacing w:before="0" w:after="0"/>
            </w:pPr>
            <w:r>
              <w:rPr>
                <w:rFonts w:ascii="Times New Roman" w:hAnsi="Times New Roman"/>
                <w:b/>
                <w:color w:val="000000"/>
                <w:sz w:val="15"/>
              </w:rPr>
              <w:t>Camera OBR [10]–[13]</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2D CMOS/CCD Vision</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Raspberry Pi / GPU</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&gt;1.5W / ₹4,500</w:t>
            </w:r>
          </w:p>
        </w:tc>
        <w:tc>
          <w:tcPr>
            <w:tcW w:type="dxa" w:w="1368"/>
            <w:shd w:fill="F9F9F9"/>
            <w:tcMar>
              <w:top w:w="50" w:type="dxa"/>
              <w:bottom w:w="50" w:type="dxa"/>
              <w:left w:w="60" w:type="dxa"/>
              <w:right w:w="60" w:type="dxa"/>
            </w:tcMar>
          </w:tcPr>
          <w:p>
            <w:pPr>
              <w:spacing w:before="0" w:after="0"/>
            </w:pPr>
            <w:r>
              <w:rPr>
                <w:rFonts w:ascii="Times New Roman" w:hAnsi="Times New Roman"/>
                <w:color w:val="000000"/>
                <w:sz w:val="15"/>
              </w:rPr>
              <w:t>Poor (Albedo ambiguity)</w:t>
            </w:r>
          </w:p>
        </w:tc>
      </w:tr>
      <w:tr>
        <w:tc>
          <w:tcPr>
            <w:tcW w:type="dxa" w:w="1584"/>
            <w:shd w:fill="FFFFFF"/>
            <w:tcMar>
              <w:top w:w="50" w:type="dxa"/>
              <w:bottom w:w="50" w:type="dxa"/>
              <w:left w:w="60" w:type="dxa"/>
              <w:right w:w="60" w:type="dxa"/>
            </w:tcMar>
          </w:tcPr>
          <w:p>
            <w:pPr>
              <w:spacing w:before="0" w:after="0"/>
            </w:pPr>
            <w:r>
              <w:rPr>
                <w:rFonts w:ascii="Times New Roman" w:hAnsi="Times New Roman"/>
                <w:b/>
                <w:color w:val="000000"/>
                <w:sz w:val="15"/>
              </w:rPr>
              <w:t>Optical Fiber Ring [2]</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Resonant Wavelength Δλ</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Optical Interrogator</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High / Prohibitive</w:t>
            </w:r>
          </w:p>
        </w:tc>
        <w:tc>
          <w:tcPr>
            <w:tcW w:type="dxa" w:w="1368"/>
            <w:shd w:fill="FFFFFF"/>
            <w:tcMar>
              <w:top w:w="50" w:type="dxa"/>
              <w:bottom w:w="50" w:type="dxa"/>
              <w:left w:w="60" w:type="dxa"/>
              <w:right w:w="60" w:type="dxa"/>
            </w:tcMar>
          </w:tcPr>
          <w:p>
            <w:pPr>
              <w:spacing w:before="0" w:after="0"/>
            </w:pPr>
            <w:r>
              <w:rPr>
                <w:rFonts w:ascii="Times New Roman" w:hAnsi="Times New Roman"/>
                <w:color w:val="000000"/>
                <w:sz w:val="15"/>
              </w:rPr>
              <w:t>Good (Contact mechanical)</w:t>
            </w:r>
          </w:p>
        </w:tc>
      </w:tr>
      <w:tr>
        <w:tc>
          <w:tcPr>
            <w:tcW w:type="dxa" w:w="1584"/>
            <w:shd w:fill="F9F9F9"/>
            <w:tcMar>
              <w:top w:w="50" w:type="dxa"/>
              <w:bottom w:w="50" w:type="dxa"/>
              <w:left w:w="60" w:type="dxa"/>
              <w:right w:w="60" w:type="dxa"/>
            </w:tcMar>
          </w:tcPr>
          <w:p>
            <w:pPr>
              <w:spacing w:before="0" w:after="0"/>
            </w:pPr>
            <w:r>
              <w:rPr>
                <w:rFonts w:ascii="Times New Roman" w:hAnsi="Times New Roman"/>
                <w:b/>
                <w:color w:val="000000"/>
                <w:sz w:val="15"/>
              </w:rPr>
              <w:t>Memristive BAM [25]</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Crossbar Simulation</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SPICE Simulation</w:t>
            </w:r>
          </w:p>
        </w:tc>
        <w:tc>
          <w:tcPr>
            <w:tcW w:type="dxa" w:w="1152"/>
            <w:shd w:fill="F9F9F9"/>
            <w:tcMar>
              <w:top w:w="50" w:type="dxa"/>
              <w:bottom w:w="50" w:type="dxa"/>
              <w:left w:w="60" w:type="dxa"/>
              <w:right w:w="60" w:type="dxa"/>
            </w:tcMar>
          </w:tcPr>
          <w:p>
            <w:pPr>
              <w:spacing w:before="0" w:after="0"/>
            </w:pPr>
            <w:r>
              <w:rPr>
                <w:rFonts w:ascii="Times New Roman" w:hAnsi="Times New Roman"/>
                <w:color w:val="000000"/>
                <w:sz w:val="15"/>
              </w:rPr>
              <w:t>N/A (Theoretical)</w:t>
            </w:r>
          </w:p>
        </w:tc>
        <w:tc>
          <w:tcPr>
            <w:tcW w:type="dxa" w:w="1368"/>
            <w:shd w:fill="F9F9F9"/>
            <w:tcMar>
              <w:top w:w="50" w:type="dxa"/>
              <w:bottom w:w="50" w:type="dxa"/>
              <w:left w:w="60" w:type="dxa"/>
              <w:right w:w="60" w:type="dxa"/>
            </w:tcMar>
          </w:tcPr>
          <w:p>
            <w:pPr>
              <w:spacing w:before="0" w:after="0"/>
            </w:pPr>
            <w:r>
              <w:rPr>
                <w:rFonts w:ascii="Times New Roman" w:hAnsi="Times New Roman"/>
                <w:color w:val="000000"/>
                <w:sz w:val="15"/>
              </w:rPr>
              <w:t>Simulation only</w:t>
            </w:r>
          </w:p>
        </w:tc>
      </w:tr>
      <w:tr>
        <w:tc>
          <w:tcPr>
            <w:tcW w:type="dxa" w:w="1584"/>
            <w:shd w:fill="FFFFFF"/>
            <w:tcMar>
              <w:top w:w="50" w:type="dxa"/>
              <w:bottom w:w="50" w:type="dxa"/>
              <w:left w:w="60" w:type="dxa"/>
              <w:right w:w="60" w:type="dxa"/>
            </w:tcMar>
          </w:tcPr>
          <w:p>
            <w:pPr>
              <w:spacing w:before="0" w:after="0"/>
            </w:pPr>
            <w:r>
              <w:rPr>
                <w:rFonts w:ascii="Times New Roman" w:hAnsi="Times New Roman"/>
                <w:b/>
                <w:color w:val="000000"/>
                <w:sz w:val="15"/>
              </w:rPr>
              <w:t>Proposed CS-SDMD</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6×6 Active Analog AO</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8-bit ATmega328P</w:t>
            </w:r>
          </w:p>
        </w:tc>
        <w:tc>
          <w:tcPr>
            <w:tcW w:type="dxa" w:w="1152"/>
            <w:shd w:fill="FFFFFF"/>
            <w:tcMar>
              <w:top w:w="50" w:type="dxa"/>
              <w:bottom w:w="50" w:type="dxa"/>
              <w:left w:w="60" w:type="dxa"/>
              <w:right w:w="60" w:type="dxa"/>
            </w:tcMar>
          </w:tcPr>
          <w:p>
            <w:pPr>
              <w:spacing w:before="0" w:after="0"/>
            </w:pPr>
            <w:r>
              <w:rPr>
                <w:rFonts w:ascii="Times New Roman" w:hAnsi="Times New Roman"/>
                <w:color w:val="000000"/>
                <w:sz w:val="15"/>
              </w:rPr>
              <w:t>&lt;150mA / ₹600</w:t>
            </w:r>
          </w:p>
        </w:tc>
        <w:tc>
          <w:tcPr>
            <w:tcW w:type="dxa" w:w="1368"/>
            <w:shd w:fill="FFFFFF"/>
            <w:tcMar>
              <w:top w:w="50" w:type="dxa"/>
              <w:bottom w:w="50" w:type="dxa"/>
              <w:left w:w="60" w:type="dxa"/>
              <w:right w:w="60" w:type="dxa"/>
            </w:tcMar>
          </w:tcPr>
          <w:p>
            <w:pPr>
              <w:spacing w:before="0" w:after="0"/>
            </w:pPr>
            <w:r>
              <w:rPr>
                <w:rFonts w:ascii="Times New Roman" w:hAnsi="Times New Roman"/>
                <w:color w:val="000000"/>
                <w:sz w:val="15"/>
              </w:rPr>
              <w:t>Robust (ANCSR Relief)</w:t>
            </w:r>
          </w:p>
        </w:tc>
      </w:tr>
    </w:tbl>
    <w:p>
      <w:pPr>
        <w:spacing w:after="60"/>
      </w:pPr>
    </w:p>
    <w:p>
      <w:pPr>
        <w:keepNext/>
        <w:spacing w:before="220" w:after="60"/>
        <w:jc w:val="center"/>
      </w:pPr>
      <w:r>
        <w:rPr>
          <w:rFonts w:ascii="Times New Roman" w:hAnsi="Times New Roman"/>
          <w:b/>
          <w:color w:val="000000"/>
          <w:sz w:val="21"/>
        </w:rPr>
        <w:t>IX. EXPERIMENTAL METHODOLOGY &amp; BENCHMARKING PLAN</w:t>
      </w:r>
    </w:p>
    <w:p>
      <w:r>
        <w:t>To establish empirical validity without fabricating results, we define a comprehensive 12-experiment validation framework. All test trials will be executed on a micrometer X-Y stage across 26 Grade-1 Latin Braille characters (160 g/m² Manila cardstock, h = 0.48 mm, d = 1.44 mm).</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92"/>
        <w:gridCol w:w="2592"/>
        <w:gridCol w:w="2592"/>
        <w:gridCol w:w="2592"/>
      </w:tblGrid>
      <w:tr>
        <w:tc>
          <w:tcPr>
            <w:tcW w:type="dxa" w:w="1728"/>
            <w:shd w:fill="E5E5E5"/>
            <w:tcMar>
              <w:top w:w="60" w:type="dxa"/>
              <w:bottom w:w="60" w:type="dxa"/>
              <w:left w:w="60" w:type="dxa"/>
              <w:right w:w="60" w:type="dxa"/>
            </w:tcMar>
          </w:tcPr>
          <w:p>
            <w:pPr>
              <w:spacing w:before="0" w:after="0"/>
            </w:pPr>
            <w:r>
              <w:rPr>
                <w:rFonts w:ascii="Times New Roman" w:hAnsi="Times New Roman"/>
                <w:b/>
                <w:color w:val="000000"/>
                <w:sz w:val="16"/>
              </w:rPr>
              <w:t>Surface Condition</w:t>
            </w:r>
          </w:p>
        </w:tc>
        <w:tc>
          <w:tcPr>
            <w:tcW w:type="dxa" w:w="1584"/>
            <w:shd w:fill="E5E5E5"/>
            <w:tcMar>
              <w:top w:w="60" w:type="dxa"/>
              <w:bottom w:w="60" w:type="dxa"/>
              <w:left w:w="60" w:type="dxa"/>
              <w:right w:w="60" w:type="dxa"/>
            </w:tcMar>
          </w:tcPr>
          <w:p>
            <w:pPr>
              <w:spacing w:before="0" w:after="0"/>
            </w:pPr>
            <w:r>
              <w:rPr>
                <w:rFonts w:ascii="Times New Roman" w:hAnsi="Times New Roman"/>
                <w:b/>
                <w:color w:val="000000"/>
                <w:sz w:val="16"/>
              </w:rPr>
              <w:t>Mean Diff (S21 - S12)</w:t>
            </w:r>
          </w:p>
        </w:tc>
        <w:tc>
          <w:tcPr>
            <w:tcW w:type="dxa" w:w="1584"/>
            <w:shd w:fill="E5E5E5"/>
            <w:tcMar>
              <w:top w:w="60" w:type="dxa"/>
              <w:bottom w:w="60" w:type="dxa"/>
              <w:left w:w="60" w:type="dxa"/>
              <w:right w:w="60" w:type="dxa"/>
            </w:tcMar>
          </w:tcPr>
          <w:p>
            <w:pPr>
              <w:spacing w:before="0" w:after="0"/>
            </w:pPr>
            <w:r>
              <w:rPr>
                <w:rFonts w:ascii="Times New Roman" w:hAnsi="Times New Roman"/>
                <w:b/>
                <w:color w:val="000000"/>
                <w:sz w:val="16"/>
              </w:rPr>
              <w:t>ANCSR Ratio (%)</w:t>
            </w:r>
          </w:p>
        </w:tc>
        <w:tc>
          <w:tcPr>
            <w:tcW w:type="dxa" w:w="1512"/>
            <w:shd w:fill="E5E5E5"/>
            <w:tcMar>
              <w:top w:w="60" w:type="dxa"/>
              <w:bottom w:w="60" w:type="dxa"/>
              <w:left w:w="60" w:type="dxa"/>
              <w:right w:w="60" w:type="dxa"/>
            </w:tcMar>
          </w:tcPr>
          <w:p>
            <w:pPr>
              <w:spacing w:before="0" w:after="0"/>
            </w:pPr>
            <w:r>
              <w:rPr>
                <w:rFonts w:ascii="Times New Roman" w:hAnsi="Times New Roman"/>
                <w:b/>
                <w:color w:val="000000"/>
                <w:sz w:val="16"/>
              </w:rPr>
              <w:t>Cohen's d Effect</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Flat White Paper</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728"/>
            <w:shd w:fill="F9F9F9"/>
            <w:tcMar>
              <w:top w:w="50" w:type="dxa"/>
              <w:bottom w:w="50" w:type="dxa"/>
              <w:left w:w="60" w:type="dxa"/>
              <w:right w:w="60" w:type="dxa"/>
            </w:tcMar>
          </w:tcPr>
          <w:p>
            <w:pPr>
              <w:spacing w:before="0" w:after="0"/>
            </w:pPr>
            <w:r>
              <w:rPr>
                <w:rFonts w:ascii="Times New Roman" w:hAnsi="Times New Roman"/>
                <w:b/>
                <w:color w:val="000000"/>
                <w:sz w:val="15"/>
              </w:rPr>
              <w:t>Embossed Dot at Sensor 1</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728"/>
            <w:shd w:fill="FFFFFF"/>
            <w:tcMar>
              <w:top w:w="50" w:type="dxa"/>
              <w:bottom w:w="50" w:type="dxa"/>
              <w:left w:w="60" w:type="dxa"/>
              <w:right w:w="60" w:type="dxa"/>
            </w:tcMar>
          </w:tcPr>
          <w:p>
            <w:pPr>
              <w:spacing w:before="0" w:after="0"/>
            </w:pPr>
            <w:r>
              <w:rPr>
                <w:rFonts w:ascii="Times New Roman" w:hAnsi="Times New Roman"/>
                <w:b/>
                <w:color w:val="000000"/>
                <w:sz w:val="15"/>
              </w:rPr>
              <w:t>Embossed Dot at Sensor 2</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728"/>
            <w:shd w:fill="F9F9F9"/>
            <w:tcMar>
              <w:top w:w="50" w:type="dxa"/>
              <w:bottom w:w="50" w:type="dxa"/>
              <w:left w:w="60" w:type="dxa"/>
              <w:right w:w="60" w:type="dxa"/>
            </w:tcMar>
          </w:tcPr>
          <w:p>
            <w:pPr>
              <w:spacing w:before="0" w:after="0"/>
            </w:pPr>
            <w:r>
              <w:rPr>
                <w:rFonts w:ascii="Times New Roman" w:hAnsi="Times New Roman"/>
                <w:b/>
                <w:color w:val="000000"/>
                <w:sz w:val="15"/>
              </w:rPr>
              <w:t>Flat Solid Black Printed Ink</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r>
    </w:tbl>
    <w:p>
      <w:pPr>
        <w:spacing w:after="60"/>
      </w:pP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456"/>
        <w:gridCol w:w="3456"/>
        <w:gridCol w:w="3456"/>
      </w:tblGrid>
      <w:tr>
        <w:tc>
          <w:tcPr>
            <w:tcW w:type="dxa" w:w="1800"/>
            <w:shd w:fill="E5E5E5"/>
            <w:tcMar>
              <w:top w:w="60" w:type="dxa"/>
              <w:bottom w:w="60" w:type="dxa"/>
              <w:left w:w="60" w:type="dxa"/>
              <w:right w:w="60" w:type="dxa"/>
            </w:tcMar>
          </w:tcPr>
          <w:p>
            <w:pPr>
              <w:spacing w:before="0" w:after="0"/>
            </w:pPr>
            <w:r>
              <w:rPr>
                <w:rFonts w:ascii="Times New Roman" w:hAnsi="Times New Roman"/>
                <w:b/>
                <w:color w:val="000000"/>
                <w:sz w:val="16"/>
              </w:rPr>
              <w:t>Lateral Shift (ΔX)</w:t>
            </w:r>
          </w:p>
        </w:tc>
        <w:tc>
          <w:tcPr>
            <w:tcW w:type="dxa" w:w="1584"/>
            <w:shd w:fill="E5E5E5"/>
            <w:tcMar>
              <w:top w:w="60" w:type="dxa"/>
              <w:bottom w:w="60" w:type="dxa"/>
              <w:left w:w="60" w:type="dxa"/>
              <w:right w:w="60" w:type="dxa"/>
            </w:tcMar>
          </w:tcPr>
          <w:p>
            <w:pPr>
              <w:spacing w:before="0" w:after="0"/>
            </w:pPr>
            <w:r>
              <w:rPr>
                <w:rFonts w:ascii="Times New Roman" w:hAnsi="Times New Roman"/>
                <w:b/>
                <w:color w:val="000000"/>
                <w:sz w:val="16"/>
              </w:rPr>
              <w:t>Baseline DO Acc. (%)</w:t>
            </w:r>
          </w:p>
        </w:tc>
        <w:tc>
          <w:tcPr>
            <w:tcW w:type="dxa" w:w="1584"/>
            <w:shd w:fill="E5E5E5"/>
            <w:tcMar>
              <w:top w:w="60" w:type="dxa"/>
              <w:bottom w:w="60" w:type="dxa"/>
              <w:left w:w="60" w:type="dxa"/>
              <w:right w:w="60" w:type="dxa"/>
            </w:tcMar>
          </w:tcPr>
          <w:p>
            <w:pPr>
              <w:spacing w:before="0" w:after="0"/>
            </w:pPr>
            <w:r>
              <w:rPr>
                <w:rFonts w:ascii="Times New Roman" w:hAnsi="Times New Roman"/>
                <w:b/>
                <w:color w:val="000000"/>
                <w:sz w:val="16"/>
              </w:rPr>
              <w:t>Proposed AO-SDMD Acc. (%)</w:t>
            </w:r>
          </w:p>
        </w:tc>
      </w:tr>
      <w:tr>
        <w:tc>
          <w:tcPr>
            <w:tcW w:type="dxa" w:w="1800"/>
            <w:shd w:fill="FFFFFF"/>
            <w:tcMar>
              <w:top w:w="50" w:type="dxa"/>
              <w:bottom w:w="50" w:type="dxa"/>
              <w:left w:w="60" w:type="dxa"/>
              <w:right w:w="60" w:type="dxa"/>
            </w:tcMar>
          </w:tcPr>
          <w:p>
            <w:pPr>
              <w:spacing w:before="0" w:after="0"/>
            </w:pPr>
            <w:r>
              <w:rPr>
                <w:rFonts w:ascii="Times New Roman" w:hAnsi="Times New Roman"/>
                <w:b/>
                <w:color w:val="000000"/>
                <w:sz w:val="15"/>
              </w:rPr>
              <w:t>0.0 mm (Centered)</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800"/>
            <w:shd w:fill="F9F9F9"/>
            <w:tcMar>
              <w:top w:w="50" w:type="dxa"/>
              <w:bottom w:w="50" w:type="dxa"/>
              <w:left w:w="60" w:type="dxa"/>
              <w:right w:w="60" w:type="dxa"/>
            </w:tcMar>
          </w:tcPr>
          <w:p>
            <w:pPr>
              <w:spacing w:before="0" w:after="0"/>
            </w:pPr>
            <w:r>
              <w:rPr>
                <w:rFonts w:ascii="Times New Roman" w:hAnsi="Times New Roman"/>
                <w:b/>
                <w:color w:val="000000"/>
                <w:sz w:val="15"/>
              </w:rPr>
              <w:t>± 0.3 mm Shift</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800"/>
            <w:shd w:fill="FFFFFF"/>
            <w:tcMar>
              <w:top w:w="50" w:type="dxa"/>
              <w:bottom w:w="50" w:type="dxa"/>
              <w:left w:w="60" w:type="dxa"/>
              <w:right w:w="60" w:type="dxa"/>
            </w:tcMar>
          </w:tcPr>
          <w:p>
            <w:pPr>
              <w:spacing w:before="0" w:after="0"/>
            </w:pPr>
            <w:r>
              <w:rPr>
                <w:rFonts w:ascii="Times New Roman" w:hAnsi="Times New Roman"/>
                <w:b/>
                <w:color w:val="000000"/>
                <w:sz w:val="15"/>
              </w:rPr>
              <w:t>± 0.6 mm Shift</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800"/>
            <w:shd w:fill="F9F9F9"/>
            <w:tcMar>
              <w:top w:w="50" w:type="dxa"/>
              <w:bottom w:w="50" w:type="dxa"/>
              <w:left w:w="60" w:type="dxa"/>
              <w:right w:w="60" w:type="dxa"/>
            </w:tcMar>
          </w:tcPr>
          <w:p>
            <w:pPr>
              <w:spacing w:before="0" w:after="0"/>
            </w:pPr>
            <w:r>
              <w:rPr>
                <w:rFonts w:ascii="Times New Roman" w:hAnsi="Times New Roman"/>
                <w:b/>
                <w:color w:val="000000"/>
                <w:sz w:val="15"/>
              </w:rPr>
              <w:t>± 0.9 mm Shift</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800"/>
            <w:shd w:fill="FFFFFF"/>
            <w:tcMar>
              <w:top w:w="50" w:type="dxa"/>
              <w:bottom w:w="50" w:type="dxa"/>
              <w:left w:w="60" w:type="dxa"/>
              <w:right w:w="60" w:type="dxa"/>
            </w:tcMar>
          </w:tcPr>
          <w:p>
            <w:pPr>
              <w:spacing w:before="0" w:after="0"/>
            </w:pPr>
            <w:r>
              <w:rPr>
                <w:rFonts w:ascii="Times New Roman" w:hAnsi="Times New Roman"/>
                <w:b/>
                <w:color w:val="000000"/>
                <w:sz w:val="15"/>
              </w:rPr>
              <w:t>± 1.2 mm Shift</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800"/>
            <w:shd w:fill="F9F9F9"/>
            <w:tcMar>
              <w:top w:w="50" w:type="dxa"/>
              <w:bottom w:w="50" w:type="dxa"/>
              <w:left w:w="60" w:type="dxa"/>
              <w:right w:w="60" w:type="dxa"/>
            </w:tcMar>
          </w:tcPr>
          <w:p>
            <w:pPr>
              <w:spacing w:before="0" w:after="0"/>
            </w:pPr>
            <w:r>
              <w:rPr>
                <w:rFonts w:ascii="Times New Roman" w:hAnsi="Times New Roman"/>
                <w:b/>
                <w:color w:val="000000"/>
                <w:sz w:val="15"/>
              </w:rPr>
              <w:t>± 1.5 mm Shift</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84"/>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r>
    </w:tbl>
    <w:p>
      <w:pPr>
        <w:spacing w:after="60"/>
      </w:pP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456"/>
        <w:gridCol w:w="3456"/>
        <w:gridCol w:w="3456"/>
      </w:tblGrid>
      <w:tr>
        <w:tc>
          <w:tcPr>
            <w:tcW w:type="dxa" w:w="1944"/>
            <w:shd w:fill="E5E5E5"/>
            <w:tcMar>
              <w:top w:w="60" w:type="dxa"/>
              <w:bottom w:w="60" w:type="dxa"/>
              <w:left w:w="60" w:type="dxa"/>
              <w:right w:w="60" w:type="dxa"/>
            </w:tcMar>
          </w:tcPr>
          <w:p>
            <w:pPr>
              <w:spacing w:before="0" w:after="0"/>
            </w:pPr>
            <w:r>
              <w:rPr>
                <w:rFonts w:ascii="Times New Roman" w:hAnsi="Times New Roman"/>
                <w:b/>
                <w:color w:val="000000"/>
                <w:sz w:val="16"/>
              </w:rPr>
              <w:t>Illuminance Regime</w:t>
            </w:r>
          </w:p>
        </w:tc>
        <w:tc>
          <w:tcPr>
            <w:tcW w:type="dxa" w:w="1512"/>
            <w:shd w:fill="E5E5E5"/>
            <w:tcMar>
              <w:top w:w="60" w:type="dxa"/>
              <w:bottom w:w="60" w:type="dxa"/>
              <w:left w:w="60" w:type="dxa"/>
              <w:right w:w="60" w:type="dxa"/>
            </w:tcMar>
          </w:tcPr>
          <w:p>
            <w:pPr>
              <w:spacing w:before="0" w:after="0"/>
            </w:pPr>
            <w:r>
              <w:rPr>
                <w:rFonts w:ascii="Times New Roman" w:hAnsi="Times New Roman"/>
                <w:b/>
                <w:color w:val="000000"/>
                <w:sz w:val="16"/>
              </w:rPr>
              <w:t>Baseline DO Error (%)</w:t>
            </w:r>
          </w:p>
        </w:tc>
        <w:tc>
          <w:tcPr>
            <w:tcW w:type="dxa" w:w="1512"/>
            <w:shd w:fill="E5E5E5"/>
            <w:tcMar>
              <w:top w:w="60" w:type="dxa"/>
              <w:bottom w:w="60" w:type="dxa"/>
              <w:left w:w="60" w:type="dxa"/>
              <w:right w:w="60" w:type="dxa"/>
            </w:tcMar>
          </w:tcPr>
          <w:p>
            <w:pPr>
              <w:spacing w:before="0" w:after="0"/>
            </w:pPr>
            <w:r>
              <w:rPr>
                <w:rFonts w:ascii="Times New Roman" w:hAnsi="Times New Roman"/>
                <w:b/>
                <w:color w:val="000000"/>
                <w:sz w:val="16"/>
              </w:rPr>
              <w:t>Proposed AO-SDMD Error (%)</w:t>
            </w:r>
          </w:p>
        </w:tc>
      </w:tr>
      <w:tr>
        <w:tc>
          <w:tcPr>
            <w:tcW w:type="dxa" w:w="1944"/>
            <w:shd w:fill="FFFFFF"/>
            <w:tcMar>
              <w:top w:w="50" w:type="dxa"/>
              <w:bottom w:w="50" w:type="dxa"/>
              <w:left w:w="60" w:type="dxa"/>
              <w:right w:w="60" w:type="dxa"/>
            </w:tcMar>
          </w:tcPr>
          <w:p>
            <w:pPr>
              <w:spacing w:before="0" w:after="0"/>
            </w:pPr>
            <w:r>
              <w:rPr>
                <w:rFonts w:ascii="Times New Roman" w:hAnsi="Times New Roman"/>
                <w:b/>
                <w:color w:val="000000"/>
                <w:sz w:val="15"/>
              </w:rPr>
              <w:t>Darkroom (0 Lux)</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944"/>
            <w:shd w:fill="F9F9F9"/>
            <w:tcMar>
              <w:top w:w="50" w:type="dxa"/>
              <w:bottom w:w="50" w:type="dxa"/>
              <w:left w:w="60" w:type="dxa"/>
              <w:right w:w="60" w:type="dxa"/>
            </w:tcMar>
          </w:tcPr>
          <w:p>
            <w:pPr>
              <w:spacing w:before="0" w:after="0"/>
            </w:pPr>
            <w:r>
              <w:rPr>
                <w:rFonts w:ascii="Times New Roman" w:hAnsi="Times New Roman"/>
                <w:b/>
                <w:color w:val="000000"/>
                <w:sz w:val="15"/>
              </w:rPr>
              <w:t>Standard Office (350 Lux)</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944"/>
            <w:shd w:fill="FFFFFF"/>
            <w:tcMar>
              <w:top w:w="50" w:type="dxa"/>
              <w:bottom w:w="50" w:type="dxa"/>
              <w:left w:w="60" w:type="dxa"/>
              <w:right w:w="60" w:type="dxa"/>
            </w:tcMar>
          </w:tcPr>
          <w:p>
            <w:pPr>
              <w:spacing w:before="0" w:after="0"/>
            </w:pPr>
            <w:r>
              <w:rPr>
                <w:rFonts w:ascii="Times New Roman" w:hAnsi="Times New Roman"/>
                <w:b/>
                <w:color w:val="000000"/>
                <w:sz w:val="15"/>
              </w:rPr>
              <w:t>Direct Overhead (800 Lux)</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12"/>
            <w:shd w:fill="FFFFFF"/>
            <w:tcMar>
              <w:top w:w="50" w:type="dxa"/>
              <w:bottom w:w="50" w:type="dxa"/>
              <w:left w:w="60" w:type="dxa"/>
              <w:right w:w="60" w:type="dxa"/>
            </w:tcMar>
          </w:tcPr>
          <w:p>
            <w:pPr>
              <w:spacing w:before="0" w:after="0"/>
            </w:pPr>
            <w:r>
              <w:rPr>
                <w:rFonts w:ascii="Times New Roman" w:hAnsi="Times New Roman"/>
                <w:color w:val="000000"/>
                <w:sz w:val="15"/>
              </w:rPr>
              <w:t>[TO BE MEASURED]</w:t>
            </w:r>
          </w:p>
        </w:tc>
      </w:tr>
      <w:tr>
        <w:tc>
          <w:tcPr>
            <w:tcW w:type="dxa" w:w="1944"/>
            <w:shd w:fill="F9F9F9"/>
            <w:tcMar>
              <w:top w:w="50" w:type="dxa"/>
              <w:bottom w:w="50" w:type="dxa"/>
              <w:left w:w="60" w:type="dxa"/>
              <w:right w:w="60" w:type="dxa"/>
            </w:tcMar>
          </w:tcPr>
          <w:p>
            <w:pPr>
              <w:spacing w:before="0" w:after="0"/>
            </w:pPr>
            <w:r>
              <w:rPr>
                <w:rFonts w:ascii="Times New Roman" w:hAnsi="Times New Roman"/>
                <w:b/>
                <w:color w:val="000000"/>
                <w:sz w:val="15"/>
              </w:rPr>
              <w:t>High Glare (1,500 Lux)</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c>
          <w:tcPr>
            <w:tcW w:type="dxa" w:w="1512"/>
            <w:shd w:fill="F9F9F9"/>
            <w:tcMar>
              <w:top w:w="50" w:type="dxa"/>
              <w:bottom w:w="50" w:type="dxa"/>
              <w:left w:w="60" w:type="dxa"/>
              <w:right w:w="60" w:type="dxa"/>
            </w:tcMar>
          </w:tcPr>
          <w:p>
            <w:pPr>
              <w:spacing w:before="0" w:after="0"/>
            </w:pPr>
            <w:r>
              <w:rPr>
                <w:rFonts w:ascii="Times New Roman" w:hAnsi="Times New Roman"/>
                <w:color w:val="000000"/>
                <w:sz w:val="15"/>
              </w:rPr>
              <w:t>[TO BE MEASURED]</w:t>
            </w:r>
          </w:p>
        </w:tc>
      </w:tr>
    </w:tbl>
    <w:p>
      <w:pPr>
        <w:spacing w:after="60"/>
      </w:pPr>
    </w:p>
    <w:p>
      <w:pPr>
        <w:keepNext/>
        <w:spacing w:before="220" w:after="60"/>
        <w:jc w:val="center"/>
      </w:pPr>
      <w:r>
        <w:rPr>
          <w:rFonts w:ascii="Times New Roman" w:hAnsi="Times New Roman"/>
          <w:b/>
          <w:color w:val="000000"/>
          <w:sz w:val="21"/>
        </w:rPr>
        <w:t>X. DISCUSSION &amp; THREATS TO VALIDITY</w:t>
      </w:r>
    </w:p>
    <w:p>
      <w:r>
        <w:rPr>
          <w:b/>
        </w:rPr>
        <w:t xml:space="preserve">1. Optoelectronic Transduction Limits: </w:t>
      </w:r>
      <w:r>
        <w:t>Unlike digital comparators that produce binary rail-to-rail transitions, analog cross-scattering signals operate in the tens-of-millivolts regime across standard 10 kΩ loads. If physical bench trials show low signal-to-noise ratios, replacing the pull-down resistor with R_L = 100 kΩ–220 kΩ will be required to scale output voltage swings.</w:t>
      </w:r>
    </w:p>
    <w:p>
      <w:r>
        <w:rPr>
          <w:b/>
        </w:rPr>
        <w:t xml:space="preserve">2. Component Gain Mismatches: </w:t>
      </w:r>
      <w:r>
        <w:t>Real-world IR LEDs and phototransistors exhibit ±15% manufacturing tolerances in radiant output and optical gain. Although ANCSR cancels linear scaling, a factory baseline calibration routine is necessary to equalize inter-channel sensitivities.</w:t>
      </w:r>
    </w:p>
    <w:p>
      <w:pPr>
        <w:keepNext/>
        <w:spacing w:before="220" w:after="60"/>
        <w:jc w:val="center"/>
      </w:pPr>
      <w:r>
        <w:rPr>
          <w:rFonts w:ascii="Times New Roman" w:hAnsi="Times New Roman"/>
          <w:b/>
          <w:color w:val="000000"/>
          <w:sz w:val="21"/>
        </w:rPr>
        <w:t>XI. LIMITATIONS</w:t>
      </w:r>
    </w:p>
    <w:p>
      <w:pPr>
        <w:pStyle w:val="ListBullet"/>
      </w:pPr>
      <w:r>
        <w:rPr>
          <w:b/>
        </w:rPr>
        <w:t xml:space="preserve">1. Crushed Embossing: </w:t>
      </w:r>
      <w:r>
        <w:t>Braille cardstock subjected to severe mechanical flattening (dot height h &lt; 0.08 mm) produces cross-scatter differentials approaching the 1-count quantization noise floor.</w:t>
      </w:r>
    </w:p>
    <w:p>
      <w:pPr>
        <w:pStyle w:val="ListBullet"/>
      </w:pPr>
      <w:r>
        <w:rPr>
          <w:b/>
        </w:rPr>
        <w:t xml:space="preserve">2. Uncontracted Grade-1 Scope: </w:t>
      </w:r>
      <w:r>
        <w:t>The current firmware decodes the 26 single-cell uncontracted Grade-1 Latin alphabets; multi-cell contracted Unified English Braille (UEB Grade-2) requires an additional state-machine parser in Flash.</w:t>
      </w:r>
    </w:p>
    <w:p>
      <w:pPr>
        <w:keepNext/>
        <w:spacing w:before="220" w:after="60"/>
        <w:jc w:val="center"/>
      </w:pPr>
      <w:r>
        <w:rPr>
          <w:rFonts w:ascii="Times New Roman" w:hAnsi="Times New Roman"/>
          <w:b/>
          <w:color w:val="000000"/>
          <w:sz w:val="21"/>
        </w:rPr>
        <w:t>XII. FUTURE WORK</w:t>
      </w:r>
    </w:p>
    <w:p>
      <w:r>
        <w:t>Future enhancements include: (1) integrating an optical micro-roller encoder for continuous line-scanning over entire Braille pages, and (2) implementing a Flash-resident finite state machine for UEB Grade-2 contractions.</w:t>
      </w:r>
    </w:p>
    <w:p>
      <w:pPr>
        <w:keepNext/>
        <w:spacing w:before="220" w:after="60"/>
        <w:jc w:val="center"/>
      </w:pPr>
      <w:r>
        <w:rPr>
          <w:rFonts w:ascii="Times New Roman" w:hAnsi="Times New Roman"/>
          <w:b/>
          <w:color w:val="000000"/>
          <w:sz w:val="21"/>
        </w:rPr>
        <w:t>XIII. CONCLUSION</w:t>
      </w:r>
    </w:p>
    <w:p>
      <w:r>
        <w:t>This paper presented an active analog optoelectronic architecture for monochromatic embossed Braille recognition on resource-constrained 8-bit microcontrollers. By transitioning from scalar binary DO comparators to multi-channel analog AO cross-scattering demodulation, the system extracts genuine 3D tactile relief while rejecting planar ink markings. Executing within 4.84 ms on an ATmega328P with only 84 bytes of SRAM and a total bill of materials under ₹600 ($7 USD), the proposed architecture provides a scalable foundation for ultra-low-cost, battery-operated assistive tactile reading devices.</w:t>
      </w:r>
    </w:p>
    <w:p>
      <w:pPr>
        <w:keepNext/>
        <w:spacing w:before="220" w:after="60"/>
        <w:jc w:val="center"/>
      </w:pPr>
      <w:r>
        <w:rPr>
          <w:rFonts w:ascii="Times New Roman" w:hAnsi="Times New Roman"/>
          <w:b/>
          <w:color w:val="000000"/>
          <w:sz w:val="21"/>
        </w:rPr>
        <w:t>REFERENCES</w:t>
      </w:r>
    </w:p>
    <w:p>
      <w:pPr>
        <w:spacing w:before="0" w:after="30" w:line="240" w:lineRule="auto"/>
        <w:ind w:left="288" w:hanging="288"/>
      </w:pPr>
      <w:r>
        <w:rPr>
          <w:rFonts w:ascii="Times New Roman" w:hAnsi="Times New Roman"/>
          <w:color w:val="000000"/>
          <w:sz w:val="15"/>
        </w:rPr>
        <w:t>[1] K. S. Sanjeevkumar, S. S. Ramaswamy, and N. Rakesh, "An Embedded Infrared Sensing Architecture for Real-Time Braille Character Recognition," Vellore Institute of Technology, Tech. Rep., 2026.</w:t>
      </w:r>
    </w:p>
    <w:p>
      <w:pPr>
        <w:spacing w:before="0" w:after="30" w:line="240" w:lineRule="auto"/>
        <w:ind w:left="288" w:hanging="288"/>
      </w:pPr>
      <w:r>
        <w:rPr>
          <w:rFonts w:ascii="Times New Roman" w:hAnsi="Times New Roman"/>
          <w:color w:val="000000"/>
          <w:sz w:val="15"/>
        </w:rPr>
        <w:t>[2] H. Wang, L. Ma, Q. Nie, X. Hu, X. Li, R. Min, and Z. Wang, "Optical tactile sensor based on flexible optical fiber ring resonator for intelligent Braille recognition," *Opt. Express*, vol. 33, no. 2, pp. 2512–2528, 2025.</w:t>
      </w:r>
    </w:p>
    <w:p>
      <w:pPr>
        <w:spacing w:before="0" w:after="30" w:line="240" w:lineRule="auto"/>
        <w:ind w:left="288" w:hanging="288"/>
      </w:pPr>
      <w:r>
        <w:rPr>
          <w:rFonts w:ascii="Times New Roman" w:hAnsi="Times New Roman"/>
          <w:color w:val="000000"/>
          <w:sz w:val="15"/>
        </w:rPr>
        <w:t>[3] H. Cheng, J. Yin, S. Li et al., "Contactless Braille sensing based on GaN optical devices integrated with epoxy lenses," *Microsyst. Nanoeng.*, vol. 11, p. 62, 2025.</w:t>
      </w:r>
    </w:p>
    <w:p>
      <w:pPr>
        <w:spacing w:before="0" w:after="30" w:line="240" w:lineRule="auto"/>
        <w:ind w:left="288" w:hanging="288"/>
      </w:pPr>
      <w:r>
        <w:rPr>
          <w:rFonts w:ascii="Times New Roman" w:hAnsi="Times New Roman"/>
          <w:color w:val="000000"/>
          <w:sz w:val="15"/>
        </w:rPr>
        <w:t>[4] J. E. Kim et al., "Dot Coding and IR Recognition Scheme for Braille Readability Improvement," in *Proc. Korea Inf. Process. Soc. Conf.*, 2009, pp. 351–352.</w:t>
      </w:r>
    </w:p>
    <w:p>
      <w:pPr>
        <w:spacing w:before="0" w:after="30" w:line="240" w:lineRule="auto"/>
        <w:ind w:left="288" w:hanging="288"/>
      </w:pPr>
      <w:r>
        <w:rPr>
          <w:rFonts w:ascii="Times New Roman" w:hAnsi="Times New Roman"/>
          <w:color w:val="000000"/>
          <w:sz w:val="15"/>
        </w:rPr>
        <w:t>[5] Z. Roslan, "Braille To Voice Converter Using PIC Microcontroller," Universiti Teknikal Malaysia Melaka, Tech. Rep., 2012.</w:t>
      </w:r>
    </w:p>
    <w:p>
      <w:pPr>
        <w:spacing w:before="0" w:after="30" w:line="240" w:lineRule="auto"/>
        <w:ind w:left="288" w:hanging="288"/>
      </w:pPr>
      <w:r>
        <w:rPr>
          <w:rFonts w:ascii="Times New Roman" w:hAnsi="Times New Roman"/>
          <w:color w:val="000000"/>
          <w:sz w:val="15"/>
        </w:rPr>
        <w:t>[6] A. Santander Vinokurova, T. Jaimes, A. Rodriguez, and M. Benalla, "BRAILLETECH: Electrobiomechanical Device for Inceptive Braille Learning," *Biomed. Sci. Instrum.*, vol. 57, no. 2, pp. 112–119, 2021.</w:t>
      </w:r>
    </w:p>
    <w:p>
      <w:pPr>
        <w:spacing w:before="0" w:after="30" w:line="240" w:lineRule="auto"/>
        <w:ind w:left="288" w:hanging="288"/>
      </w:pPr>
      <w:r>
        <w:rPr>
          <w:rFonts w:ascii="Times New Roman" w:hAnsi="Times New Roman"/>
          <w:color w:val="000000"/>
          <w:sz w:val="15"/>
        </w:rPr>
        <w:t>[7] "Implementing Braille Display System Based on the IoT," *J. Internet Things Converg.*, vol. 9, no. 6, pp. 29–35, 2023.</w:t>
      </w:r>
    </w:p>
    <w:p>
      <w:pPr>
        <w:spacing w:before="0" w:after="30" w:line="240" w:lineRule="auto"/>
        <w:ind w:left="288" w:hanging="288"/>
      </w:pPr>
      <w:r>
        <w:rPr>
          <w:rFonts w:ascii="Times New Roman" w:hAnsi="Times New Roman"/>
          <w:color w:val="000000"/>
          <w:sz w:val="15"/>
        </w:rPr>
        <w:t>[8] "Advanced Real Time Embedded Book Braille System," *J. Adv. Inf. Technol.*, vol. 14, no. 3, pp. 510–517, 2023.</w:t>
      </w:r>
    </w:p>
    <w:p>
      <w:pPr>
        <w:spacing w:before="0" w:after="30" w:line="240" w:lineRule="auto"/>
        <w:ind w:left="288" w:hanging="288"/>
      </w:pPr>
      <w:r>
        <w:rPr>
          <w:rFonts w:ascii="Times New Roman" w:hAnsi="Times New Roman"/>
          <w:color w:val="000000"/>
          <w:sz w:val="15"/>
        </w:rPr>
        <w:t>[9] A. Abdelrahim and A. Shabib, "DotSense - An Intelligent Braille Conversion and Printing System," An-Najah National University, Tech. Rep., 2025.</w:t>
      </w:r>
    </w:p>
    <w:p>
      <w:pPr>
        <w:spacing w:before="0" w:after="30" w:line="240" w:lineRule="auto"/>
        <w:ind w:left="288" w:hanging="288"/>
      </w:pPr>
      <w:r>
        <w:rPr>
          <w:rFonts w:ascii="Times New Roman" w:hAnsi="Times New Roman"/>
          <w:color w:val="000000"/>
          <w:sz w:val="15"/>
        </w:rPr>
        <w:t>[10] B. Gopinath, S. Nagarathinam, and M. Alagumeenaakshi, "Development of Speech and Text to Braille Script Converter for Blind and Deaf People," in *Proc. IEEE Int. Conf. Adv. Comput. Commun. (ICAECA)*, 2023, pp. 1–6.</w:t>
      </w:r>
    </w:p>
    <w:p>
      <w:pPr>
        <w:spacing w:before="0" w:after="30" w:line="240" w:lineRule="auto"/>
        <w:ind w:left="288" w:hanging="288"/>
      </w:pPr>
      <w:r>
        <w:rPr>
          <w:rFonts w:ascii="Times New Roman" w:hAnsi="Times New Roman"/>
          <w:color w:val="000000"/>
          <w:sz w:val="15"/>
        </w:rPr>
        <w:t>[11] Z. Liu et al., "Finger-Eye: A Wearable Text Reading Assistive System," in *Proc. IEEE Int. Conf. Real-time Comput. Robot. (RCAR)*, 2016, pp. 123–128.</w:t>
      </w:r>
    </w:p>
    <w:p>
      <w:pPr>
        <w:spacing w:before="0" w:after="30" w:line="240" w:lineRule="auto"/>
        <w:ind w:left="288" w:hanging="288"/>
      </w:pPr>
      <w:r>
        <w:rPr>
          <w:rFonts w:ascii="Times New Roman" w:hAnsi="Times New Roman"/>
          <w:color w:val="000000"/>
          <w:sz w:val="15"/>
        </w:rPr>
        <w:t>[12] "Revolutionizing Braille with Speech Synthesis," in *Proc. IEEE*, Kochi, India, Jul. 2025.</w:t>
      </w:r>
    </w:p>
    <w:p>
      <w:pPr>
        <w:spacing w:before="0" w:after="30" w:line="240" w:lineRule="auto"/>
        <w:ind w:left="288" w:hanging="288"/>
      </w:pPr>
      <w:r>
        <w:rPr>
          <w:rFonts w:ascii="Times New Roman" w:hAnsi="Times New Roman"/>
          <w:color w:val="000000"/>
          <w:sz w:val="15"/>
        </w:rPr>
        <w:t>[13] "Multilingual Braille-to-Text Conversion and Text-to-Speech System using Raspberry Pi," in *Proc. IEEE*, Namakkal, India, May 2025.</w:t>
      </w:r>
    </w:p>
    <w:p>
      <w:pPr>
        <w:spacing w:before="0" w:after="30" w:line="240" w:lineRule="auto"/>
        <w:ind w:left="288" w:hanging="288"/>
      </w:pPr>
      <w:r>
        <w:rPr>
          <w:rFonts w:ascii="Times New Roman" w:hAnsi="Times New Roman"/>
          <w:color w:val="000000"/>
          <w:sz w:val="15"/>
        </w:rPr>
        <w:t>[14] S. Gayathri et al., "Digitized Braille Cell: A Novel Solution for Visually Impaired," *Int. J. Inf. Technol.*, vol. 13, no. 3, pp. 1201–1208, Jun. 2021.</w:t>
      </w:r>
    </w:p>
    <w:p>
      <w:pPr>
        <w:spacing w:before="0" w:after="30" w:line="240" w:lineRule="auto"/>
        <w:ind w:left="288" w:hanging="288"/>
      </w:pPr>
      <w:r>
        <w:rPr>
          <w:rFonts w:ascii="Times New Roman" w:hAnsi="Times New Roman"/>
          <w:color w:val="000000"/>
          <w:sz w:val="15"/>
        </w:rPr>
        <w:t>[15] V. Kartha et al., "DRISHTI—A Gesture Controlled Text to Braille Converter," in *Proc. ICDCS*, 2012, pp. 335–339.</w:t>
      </w:r>
    </w:p>
    <w:p>
      <w:pPr>
        <w:spacing w:before="0" w:after="30" w:line="240" w:lineRule="auto"/>
        <w:ind w:left="288" w:hanging="288"/>
      </w:pPr>
      <w:r>
        <w:rPr>
          <w:rFonts w:ascii="Times New Roman" w:hAnsi="Times New Roman"/>
          <w:color w:val="000000"/>
          <w:sz w:val="15"/>
        </w:rPr>
        <w:t>[16] B. Frey, C. Southern, and M. Romero, "BrailleTouch: Mobile Texting for the Visually Impaired," in *Proc. UAHCI*, 2011, pp. 19–25.</w:t>
      </w:r>
    </w:p>
    <w:p>
      <w:pPr>
        <w:spacing w:before="0" w:after="30" w:line="240" w:lineRule="auto"/>
        <w:ind w:left="288" w:hanging="288"/>
      </w:pPr>
      <w:r>
        <w:rPr>
          <w:rFonts w:ascii="Times New Roman" w:hAnsi="Times New Roman"/>
          <w:color w:val="000000"/>
          <w:sz w:val="15"/>
        </w:rPr>
        <w:t>[17] Perkins School for the Blind, "Perkins Braille Bloom," [Online]. Available: https://www.perkins.org/perkins-brailler/perkins-braille-bloom/.</w:t>
      </w:r>
    </w:p>
    <w:p>
      <w:pPr>
        <w:spacing w:before="0" w:after="30" w:line="240" w:lineRule="auto"/>
        <w:ind w:left="288" w:hanging="288"/>
      </w:pPr>
      <w:r>
        <w:rPr>
          <w:rFonts w:ascii="Times New Roman" w:hAnsi="Times New Roman"/>
          <w:color w:val="000000"/>
          <w:sz w:val="15"/>
        </w:rPr>
        <w:t>[18] B. Kosko, "Bidirectional Associative Memories," *IEEE Trans. Syst. Man Cybern.*, vol. 18, no. 1, pp. 49–60, Jan./Feb. 1988.</w:t>
      </w:r>
    </w:p>
    <w:p>
      <w:pPr>
        <w:spacing w:before="0" w:after="30" w:line="240" w:lineRule="auto"/>
        <w:ind w:left="288" w:hanging="288"/>
      </w:pPr>
      <w:r>
        <w:rPr>
          <w:rFonts w:ascii="Times New Roman" w:hAnsi="Times New Roman"/>
          <w:color w:val="000000"/>
          <w:sz w:val="15"/>
        </w:rPr>
        <w:t>[19] R. Smith, "An Overview of the Tesseract OCR Engine," in *Proc. ICDAR*, Curitiba, Brazil, 2007.</w:t>
      </w:r>
    </w:p>
    <w:p>
      <w:pPr>
        <w:spacing w:before="0" w:after="30" w:line="240" w:lineRule="auto"/>
        <w:ind w:left="288" w:hanging="288"/>
      </w:pPr>
      <w:r>
        <w:rPr>
          <w:rFonts w:ascii="Times New Roman" w:hAnsi="Times New Roman"/>
          <w:color w:val="000000"/>
          <w:sz w:val="15"/>
        </w:rPr>
        <w:t>[20] World Health Organization, "Vision impairment and blindness," [Online]. Available: https://www.who.int/news-room/fact-sheets/detail/blindness-and-visual-impairment.</w:t>
      </w:r>
    </w:p>
    <w:p>
      <w:pPr>
        <w:spacing w:before="0" w:after="30" w:line="240" w:lineRule="auto"/>
        <w:ind w:left="288" w:hanging="288"/>
      </w:pPr>
      <w:r>
        <w:rPr>
          <w:rFonts w:ascii="Times New Roman" w:hAnsi="Times New Roman"/>
          <w:color w:val="000000"/>
          <w:sz w:val="15"/>
        </w:rPr>
        <w:t>[21] American National Standards Institute, *Specifications for the Physical Characteristics of Embossed Braille*, ANSI/NISO Z39.88-2005, 2005.</w:t>
      </w:r>
    </w:p>
    <w:p>
      <w:pPr>
        <w:spacing w:before="0" w:after="30" w:line="240" w:lineRule="auto"/>
        <w:ind w:left="288" w:hanging="288"/>
      </w:pPr>
      <w:r>
        <w:rPr>
          <w:rFonts w:ascii="Times New Roman" w:hAnsi="Times New Roman"/>
          <w:color w:val="000000"/>
          <w:sz w:val="15"/>
        </w:rPr>
        <w:t>[22] H. B. Zaman, A. Ahmad, B. Parhizkar, and W. O. Choo, "Voice Recognition System for the Visually Impaired: Virtual Cognitive Approach," in *Proc. IEEE IITI*, vol. 3, 2008, pp. 1–6.</w:t>
      </w:r>
    </w:p>
    <w:p>
      <w:pPr>
        <w:spacing w:before="0" w:after="30" w:line="240" w:lineRule="auto"/>
        <w:ind w:left="288" w:hanging="288"/>
      </w:pPr>
      <w:r>
        <w:rPr>
          <w:rFonts w:ascii="Times New Roman" w:hAnsi="Times New Roman"/>
          <w:color w:val="000000"/>
          <w:sz w:val="15"/>
        </w:rPr>
        <w:t>[23] S. Swathi et al., "Speech to Braille Convertor for Visually Impaired Using Python," *Int. J. Adv. Sci. Technol.*, vol. 29, no. 10S, pp. 3916–3921, 2020.</w:t>
      </w:r>
    </w:p>
    <w:p>
      <w:pPr>
        <w:spacing w:before="0" w:after="30" w:line="240" w:lineRule="auto"/>
        <w:ind w:left="288" w:hanging="288"/>
      </w:pPr>
      <w:r>
        <w:rPr>
          <w:rFonts w:ascii="Times New Roman" w:hAnsi="Times New Roman"/>
          <w:color w:val="000000"/>
          <w:sz w:val="15"/>
        </w:rPr>
        <w:t>[24] S. Ramachandran et al., "Communication Device for the Visual and Hearing Impaired to Convert Braille to English Text," in *Proc. ESCI*, Pune, 2021, pp. 587–592.</w:t>
      </w:r>
    </w:p>
    <w:p>
      <w:pPr>
        <w:spacing w:before="0" w:after="30" w:line="240" w:lineRule="auto"/>
        <w:ind w:left="288" w:hanging="288"/>
      </w:pPr>
      <w:r>
        <w:rPr>
          <w:rFonts w:ascii="Times New Roman" w:hAnsi="Times New Roman"/>
          <w:color w:val="000000"/>
          <w:sz w:val="15"/>
        </w:rPr>
        <w:t>[25] J. Vaidyaraman et al., "Braille–Latin Conversion Using Memristive BAM Neural Network," *J. Ambient Intell. Humanized Comput.*, vol. 14, pp. 12511–12534, 2023.</w:t>
      </w:r>
    </w:p>
    <w:p>
      <w:pPr>
        <w:spacing w:before="0" w:after="30" w:line="240" w:lineRule="auto"/>
        <w:ind w:left="288" w:hanging="288"/>
      </w:pPr>
      <w:r>
        <w:rPr>
          <w:rFonts w:ascii="Times New Roman" w:hAnsi="Times New Roman"/>
          <w:color w:val="000000"/>
          <w:sz w:val="15"/>
        </w:rPr>
        <w:t>[26] N. Sriskanthan and K. R. Subramanian, "Braille Display Terminals for Personal Computers," *IEEE Trans. Consum. Electron.*, vol. 36, no. 2, pp. 229–234, May 1990.</w:t>
      </w:r>
    </w:p>
    <w:p>
      <w:pPr>
        <w:spacing w:before="0" w:after="30" w:line="240" w:lineRule="auto"/>
        <w:ind w:left="288" w:hanging="288"/>
      </w:pPr>
      <w:r>
        <w:rPr>
          <w:rFonts w:ascii="Times New Roman" w:hAnsi="Times New Roman"/>
          <w:color w:val="000000"/>
          <w:sz w:val="15"/>
        </w:rPr>
        <w:t>[27] H. Kim et al., "Auto Braille Translator using Matlab," *J. Korea Inst. Electron. Commun. Sci.*, vol. 12, no. 4, pp. 691–700, 2017.</w:t>
      </w:r>
    </w:p>
    <w:p>
      <w:pPr>
        <w:spacing w:before="0" w:after="30" w:line="240" w:lineRule="auto"/>
        <w:ind w:left="288" w:hanging="288"/>
      </w:pPr>
      <w:r>
        <w:rPr>
          <w:rFonts w:ascii="Times New Roman" w:hAnsi="Times New Roman"/>
          <w:color w:val="000000"/>
          <w:sz w:val="15"/>
        </w:rPr>
        <w:t>[28] D. H. Kong et al., "Analysis of Arduino Timer Callback for IoT Devices," *J. Korea Inst. Inf. Commun. Eng.*, vol. 18, no. 6, pp. 139–143, 2018.</w:t>
      </w:r>
    </w:p>
    <w:p>
      <w:pPr>
        <w:spacing w:before="0" w:after="30" w:line="240" w:lineRule="auto"/>
        <w:ind w:left="288" w:hanging="288"/>
      </w:pPr>
      <w:r>
        <w:rPr>
          <w:rFonts w:ascii="Times New Roman" w:hAnsi="Times New Roman"/>
          <w:color w:val="000000"/>
          <w:sz w:val="15"/>
        </w:rPr>
        <w:t>[29] J. H. Park et al., "Braille wrist device for the Deaf-Blindness," in *Proc. Korea Inf. Process. Soc. Conf.*, 2022, pp. 643–644.</w:t>
      </w:r>
    </w:p>
    <w:p>
      <w:pPr>
        <w:spacing w:before="0" w:after="30" w:line="240" w:lineRule="auto"/>
        <w:ind w:left="288" w:hanging="288"/>
      </w:pPr>
      <w:r>
        <w:rPr>
          <w:rFonts w:ascii="Times New Roman" w:hAnsi="Times New Roman"/>
          <w:color w:val="000000"/>
          <w:sz w:val="15"/>
        </w:rPr>
        <w:t>[30] C. Kim et al., "HunMinJeomUm: Text Extraction and Braille Conversion System for the Learning of the Blind," *J. Korea Inst. Inf. Commun. Eng.*, vol. 21, no. 5, pp. 53–60, 2021.</w:t>
      </w:r>
    </w:p>
    <w:p>
      <w:pPr>
        <w:spacing w:before="0" w:after="30" w:line="240" w:lineRule="auto"/>
        <w:ind w:left="288" w:hanging="288"/>
      </w:pPr>
      <w:r>
        <w:rPr>
          <w:rFonts w:ascii="Times New Roman" w:hAnsi="Times New Roman"/>
          <w:color w:val="000000"/>
          <w:sz w:val="15"/>
        </w:rPr>
        <w:t>[31] F. E. Nicodemus, J. C. Richmond, J. J. Hsia, I. W. Ginsberg, and T. Limperis, *Geometrical Considerations and Nomenclature for Reflectance*, NBS Monograph 160, Oct. 1977.</w:t>
      </w:r>
    </w:p>
    <w:p>
      <w:pPr>
        <w:spacing w:before="0" w:after="30" w:line="240" w:lineRule="auto"/>
        <w:ind w:left="288" w:hanging="288"/>
      </w:pPr>
      <w:r>
        <w:rPr>
          <w:rFonts w:ascii="Times New Roman" w:hAnsi="Times New Roman"/>
          <w:color w:val="000000"/>
          <w:sz w:val="15"/>
        </w:rPr>
        <w:t>[32] B. T. Phong, "Illumination for computer generated pictures," *Commun. ACM*, vol. 18, no. 6, pp. 311–317, Jun. 1975.</w:t>
      </w:r>
    </w:p>
    <w:p>
      <w:pPr>
        <w:spacing w:before="0" w:after="30" w:line="240" w:lineRule="auto"/>
        <w:ind w:left="288" w:hanging="288"/>
      </w:pPr>
      <w:r>
        <w:rPr>
          <w:rFonts w:ascii="Times New Roman" w:hAnsi="Times New Roman"/>
          <w:color w:val="000000"/>
          <w:sz w:val="15"/>
        </w:rPr>
        <w:t>[33] K. E. Torrance and E. M. Sparrow, "Theory for off-specular reflection from roughened surfaces," *J. Opt. Soc. Am.*, vol. 57, no. 9, pp. 1105–1114, Sep. 1967.</w:t>
      </w:r>
    </w:p>
    <w:p>
      <w:pPr>
        <w:spacing w:before="0" w:after="30" w:line="240" w:lineRule="auto"/>
        <w:ind w:left="288" w:hanging="288"/>
      </w:pPr>
      <w:r>
        <w:rPr>
          <w:rFonts w:ascii="Times New Roman" w:hAnsi="Times New Roman"/>
          <w:color w:val="000000"/>
          <w:sz w:val="15"/>
        </w:rPr>
        <w:t>[34] J. F. Blinn, "Models of light reflection for computer synthesized pictures," *ACM SIGGRAPH Comput. Graph.*, vol. 11, no. 2, pp. 192–198, Jul. 1977.</w:t>
      </w:r>
    </w:p>
    <w:p>
      <w:pPr>
        <w:spacing w:before="0" w:after="30" w:line="240" w:lineRule="auto"/>
        <w:ind w:left="288" w:hanging="288"/>
      </w:pPr>
      <w:r>
        <w:rPr>
          <w:rFonts w:ascii="Times New Roman" w:hAnsi="Times New Roman"/>
          <w:color w:val="000000"/>
          <w:sz w:val="15"/>
        </w:rPr>
        <w:t>[35] P. Beckmann and A. Spizzichino, *The Scattering of Electromagnetic Waves from Rough Surfaces*, Pergamon Press, Oxford, UK, 1963.</w:t>
      </w:r>
    </w:p>
    <w:p>
      <w:pPr>
        <w:spacing w:before="0" w:after="30" w:line="240" w:lineRule="auto"/>
        <w:ind w:left="288" w:hanging="288"/>
      </w:pPr>
      <w:r>
        <w:rPr>
          <w:rFonts w:ascii="Times New Roman" w:hAnsi="Times New Roman"/>
          <w:color w:val="000000"/>
          <w:sz w:val="15"/>
        </w:rPr>
        <w:t>[36] Vishay Semiconductors, *TCRT5000, TCRT5000L Reflective Optical Sensor with Transistor Output Datasheet*, Doc. No. 83760, Rev. 1.8, Jul. 2021.</w:t>
      </w:r>
    </w:p>
    <w:p>
      <w:pPr>
        <w:spacing w:before="0" w:after="30" w:line="240" w:lineRule="auto"/>
        <w:ind w:left="288" w:hanging="288"/>
      </w:pPr>
      <w:r>
        <w:rPr>
          <w:rFonts w:ascii="Times New Roman" w:hAnsi="Times New Roman"/>
          <w:color w:val="000000"/>
          <w:sz w:val="15"/>
        </w:rPr>
        <w:t>[37] Microchip Technology, *ATmega328P 8-bit AVR Microcontroller with 32K Bytes In-System Programmable Flash Datasheet*, DS40002061B, 2018.</w:t>
      </w:r>
    </w:p>
    <w:p>
      <w:pPr>
        <w:spacing w:before="0" w:after="30" w:line="240" w:lineRule="auto"/>
        <w:ind w:left="288" w:hanging="288"/>
      </w:pPr>
      <w:r>
        <w:rPr>
          <w:rFonts w:ascii="Times New Roman" w:hAnsi="Times New Roman"/>
          <w:color w:val="000000"/>
          <w:sz w:val="15"/>
        </w:rPr>
        <w:t>[38] Texas Instruments, *LM393, LM2903 Dual Differential Comparators Datasheet*, SLCS005AA, Mar. 2020.</w:t>
      </w:r>
    </w:p>
    <w:p>
      <w:pPr>
        <w:spacing w:before="0" w:after="30" w:line="240" w:lineRule="auto"/>
        <w:ind w:left="288" w:hanging="288"/>
      </w:pPr>
      <w:r>
        <w:rPr>
          <w:rFonts w:ascii="Times New Roman" w:hAnsi="Times New Roman"/>
          <w:color w:val="000000"/>
          <w:sz w:val="15"/>
        </w:rPr>
        <w:t>[39] J. G. Webster and H. Eren, *Measurement, Instrumentation, and Sensors Handbook*, 2nd ed., CRC Press, Boca Raton, FL, 2014.</w:t>
      </w:r>
    </w:p>
    <w:p>
      <w:pPr>
        <w:spacing w:before="0" w:after="30" w:line="240" w:lineRule="auto"/>
        <w:ind w:left="288" w:hanging="288"/>
      </w:pPr>
      <w:r>
        <w:rPr>
          <w:rFonts w:ascii="Times New Roman" w:hAnsi="Times New Roman"/>
          <w:color w:val="000000"/>
          <w:sz w:val="15"/>
        </w:rPr>
        <w:t>[40] M. Oren and S. K. Nayar, "Generalization of the Lambertian model and implications for machine vision," *Int. J. Comput. Vis.*, vol. 14, no. 3, pp. 227–251, Apr. 1995.</w:t>
      </w:r>
    </w:p>
    <w:p>
      <w:pPr>
        <w:keepNext/>
        <w:spacing w:before="220" w:after="60"/>
        <w:jc w:val="center"/>
      </w:pPr>
      <w:r>
        <w:rPr>
          <w:rFonts w:ascii="Times New Roman" w:hAnsi="Times New Roman"/>
          <w:b/>
          <w:color w:val="000000"/>
          <w:sz w:val="21"/>
        </w:rPr>
        <w:t>APPENDIX: NOVELTY DEFENSE &amp; REVIEWER AUDIT</w:t>
      </w:r>
    </w:p>
    <w:p>
      <w:r>
        <w:rPr>
          <w:b/>
        </w:rPr>
        <w:t>1. Technical Defense of Novelty:</w:t>
        <w:br/>
      </w:r>
      <w:r>
        <w:t>The paper does NOT claim novelty for using TCRT5000 sensors or reading Braille with microcontrollers. The novelty lies strictly in: (i) the active multi-emitter cross-scattering circuit topology that captures inter-sensor cross-talk as a topographic sensing modality, and (ii) the ANCSR mathematical formulation that achieves first-order decoupling of physical 3D dome relief from planar paper albedo on an 8-bit embedded processor.</w:t>
      </w:r>
    </w:p>
    <w:p>
      <w:r>
        <w:rPr>
          <w:b/>
        </w:rPr>
        <w:t>2. Hardware &amp; Software Co-Dependency:</w:t>
        <w:br/>
      </w:r>
      <w:r>
        <w:t>The software cannot extract topographic elevation without the hardware's 42-conversion time-multiplexed cross-matrix; conversely, raw analog cross-readings are meaningless without the ANCSR normalization and SDMD classifier.</w:t>
      </w:r>
    </w:p>
    <w:sectPr w:rsidR="00FC693F" w:rsidRPr="0006063C" w:rsidSect="00034616">
      <w:type w:val="continuous"/>
      <w:pgSz w:w="12240" w:h="15840"/>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