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A2540"/>
          <w:sz w:val="40"/>
        </w:rPr>
        <w:t>Camera-Free Tactile Relief Recognition Using Discrete Optoelectronic Cross-Scatter Demodulation and Normalized Ratio Profiling</w:t>
      </w:r>
    </w:p>
    <w:p>
      <w:pPr>
        <w:spacing w:before="0" w:after="280"/>
        <w:jc w:val="center"/>
      </w:pPr>
      <w:r>
        <w:rPr>
          <w:rFonts w:ascii="Times New Roman" w:hAnsi="Times New Roman"/>
          <w:i/>
          <w:color w:val="1E293B"/>
          <w:sz w:val="19"/>
        </w:rPr>
        <w:t>Rakesh N., et al.</w:t>
        <w:br/>
        <w:t>Department of Electronics and Communication Engineering</w:t>
        <w:br/>
        <w:t>Embedded Systems and Assistive Technologies Laboratory</w:t>
        <w:br/>
        <w:t>Draft submitted to IEEE Transactions on Instrumentation and Measurement / IEEE Sensors Journal</w:t>
      </w:r>
    </w:p>
    <w:tbl>
      <w:tblPr>
        <w:tblW w:type="auto" w:w="0"/>
        <w:jc w:val="center"/>
        <w:tblLayout w:type="fixed"/>
        <w:tblLook w:firstColumn="1" w:firstRow="1" w:lastColumn="0" w:lastRow="0" w:noHBand="0" w:noVBand="1" w:val="04A0"/>
      </w:tblPr>
      <w:tblGrid>
        <w:gridCol w:w="9792"/>
      </w:tblGrid>
      <w:tr>
        <w:tc>
          <w:tcPr>
            <w:tcW w:type="dxa" w:w="10080"/>
            <w:shd w:fill="F8FAFC"/>
            <w:tcMar>
              <w:top w:w="120" w:type="dxa"/>
              <w:bottom w:w="120" w:type="dxa"/>
              <w:left w:w="150" w:type="dxa"/>
              <w:right w:w="150" w:type="dxa"/>
            </w:tcMar>
            <w:tcBorders>
              <w:top w:val="single" w:sz="6" w:space="0" w:color="CBD5E1"/>
              <w:bottom w:val="single" w:sz="6" w:space="0" w:color="CBD5E1"/>
              <w:left w:val="none"/>
              <w:right w:val="none"/>
            </w:tcBorders>
          </w:tcPr>
          <w:p>
            <w:pPr>
              <w:spacing w:before="0" w:after="80"/>
            </w:pPr>
            <w:r>
              <w:rPr>
                <w:rFonts w:ascii="Times New Roman" w:hAnsi="Times New Roman"/>
                <w:b/>
                <w:sz w:val="19"/>
              </w:rPr>
              <w:t>Abstract—</w:t>
            </w:r>
            <w:r>
              <w:rPr>
                <w:rFonts w:ascii="Times New Roman" w:hAnsi="Times New Roman"/>
                <w:sz w:val="18"/>
              </w:rPr>
              <w:t>Standard automatic Braille reading and tactile document digitization systems typically rely on optical camera arrays or contact mechanical profilometers. Camera-based readers suffer from high computational overhead, motion blur, and high susceptibility to printed 2D ink artifacts, while mechanical readers are expensive, fragile, and mechanically complex. In this paper, we propose and rigorously validate a camera-free, energy-efficient optoelectronic architecture for micro-topographic tactile character recognition based on Discrete Cross-Scattering Spatial-Differential Matrix Demodulation (CS-SDMD). By time-multiplexing discrete infrared emitters (λ = 950 nm) across adjacent phototransistor detectors arranged in a 2×3 array matching the standard 2.50 mm ANSI Braille pitch, the system captures both direct retro-reflections and non-local inter-channel cross-scattering flux. We show that while planar surfaces (irrespective of printed ink color or albedo) maintain optical symmetry under Helmholtz reciprocity, an embossed Braille dome (height h ≈ 0.48 mm, base diameter d ≈ 1.44 mm) induces asymmetric facet tilting and proximity compression, creating a measurable directional cross-scatter differential. To achieve robust immunity against paper yellowing, ink markings, and baseline drift, we formulate the Antisymmetric Normalized Cross-Scatter Ratio (ANCSR) metric. Implemented entirely on an 8-bit ATmega328P microcontroller running at 16 MHz, the acquisition cycle requires 42 analog conversions (including differential ambient subtraction) and executes in 4.52 ms (221 Hz frame rate) consuming only 84 bytes of SRAM (4.1%). The physical viability of the architecture is demonstrated via first-principles radiometric ray-tracing, electrical module reverse-engineering, and a statistically rigorous 2-sensor empirical verification protocol yielding an effect size of d ≥ 2.5.</w:t>
            </w:r>
          </w:p>
          <w:p>
            <w:pPr>
              <w:spacing w:before="80" w:after="0"/>
            </w:pPr>
            <w:r>
              <w:rPr>
                <w:rFonts w:ascii="Times New Roman" w:hAnsi="Times New Roman"/>
                <w:b/>
                <w:sz w:val="18"/>
              </w:rPr>
              <w:t>Index Terms—</w:t>
            </w:r>
            <w:r>
              <w:rPr>
                <w:rFonts w:ascii="Times New Roman" w:hAnsi="Times New Roman"/>
                <w:i/>
                <w:sz w:val="18"/>
              </w:rPr>
              <w:t>Assistive optoelectronics, Braille recognition, cross-scattering radiometry, micro-topography sensing, embedded systems, optical reciprocity, ATmega328P, ANCSR.</w:t>
            </w:r>
          </w:p>
        </w:tc>
      </w:tr>
    </w:tbl>
    <w:p>
      <w:pPr>
        <w:spacing w:after="120"/>
      </w:pPr>
    </w:p>
    <w:p>
      <w:pPr>
        <w:keepNext/>
        <w:spacing w:before="280" w:after="80"/>
        <w:jc w:val="left"/>
      </w:pPr>
      <w:r>
        <w:rPr>
          <w:rFonts w:ascii="Times New Roman" w:hAnsi="Times New Roman"/>
          <w:b/>
          <w:color w:val="0A2540"/>
          <w:sz w:val="24"/>
        </w:rPr>
        <w:t>I. INTRODUCTION</w:t>
      </w:r>
    </w:p>
    <w:p>
      <w:r>
        <w:t>Braille remains the primary tactile reading and writing medium for millions of blind and visually impaired individuals worldwide [1]–[3]. Automated Braille recognition systems serve crucial roles in inclusive education, automated transcription, quality control in pharmaceutical packaging, and assistive reading devices [4], [5]. Over the past two decades, research in automatic Braille acquisition has split into two primary paradigms: camera-based computer vision systems and tactile-mechanical contact scanning arrays [6]–[9].</w:t>
      </w:r>
    </w:p>
    <w:p>
      <w:r>
        <w:t>Camera-based optical Braille recognition (OBR) approaches utilize 2D CMOS/CCD image sensors coupled with image processing pipelines (e.g., adaptive thresholding, Hough transforms, morphological dilation, and convolutional neural networks) to detect shadow gradients cast by oblique lighting [10]–[14]. However, camera-based readers suffer from fundamental practical constraints: (1) high computational and memory demands that exceed the capabilities of low-cost, battery-operated 8-bit embedded microcontrollers; (2) extreme vulnerability to motion blur during continuous hand-held scanning; and (3) an inability to distinguish between real 3D physical relief and flat 2D printed markings (such as black ink text, colored logos, grease spots, or paper yellowing) without complex multi-directional lighting [15]–[18].</w:t>
      </w:r>
    </w:p>
    <w:p>
      <w:r>
        <w:t>Conversely, mechanical and piezoelectric contact sensors measure physical surface displacement directly [19]–[22]. While immune to optical albedo variations, mechanical profilometers contain fragile moving micro-cantilevers, suffer from frictional wear, exhibit slow scanning speeds, and are prohibitively expensive for mass-market assistive hardware [23]–[26].</w:t>
      </w:r>
    </w:p>
    <w:p>
      <w:r>
        <w:t xml:space="preserve">To bridge this gap, this paper introduces </w:t>
      </w:r>
      <w:r>
        <w:rPr>
          <w:b/>
        </w:rPr>
        <w:t>Discrete Cross-Scattering Spatial-Differential Matrix Demodulation (CS-SDMD)</w:t>
      </w:r>
      <w:r>
        <w:t>, a camera-free optoelectronic methodology that converts standard discrete infrared reflective transceivers (such as the Vishay TCRT5000) into a micro-topographic 3D surface profiler. Rather than operating each sensor as an isolated binary threshold switch, the system time-multiplexes individual emitters and records both retro-reflective and inter-channel cross-scattered flux. The key contributions of this paper are:</w:t>
      </w:r>
    </w:p>
    <w:p>
      <w:pPr>
        <w:pStyle w:val="ListBullet"/>
      </w:pPr>
      <w:r>
        <w:rPr>
          <w:b/>
        </w:rPr>
        <w:t xml:space="preserve">1. Physical Radiometric Proof: </w:t>
      </w:r>
      <w:r>
        <w:t>We formulate a 3D radiometric model demonstrating that while flat paper maintains optical symmetry under Helmholtz reciprocity (S_ij ≈ S_ji), an embossed Braille dot (h = 0.48 mm, d = 1.44 mm) induces asymmetric micro-facet tilting and proximity compression that creates a measurable cross-scatter differential.</w:t>
      </w:r>
    </w:p>
    <w:p>
      <w:pPr>
        <w:pStyle w:val="ListBullet"/>
      </w:pPr>
      <w:r>
        <w:rPr>
          <w:b/>
        </w:rPr>
        <w:t xml:space="preserve">2. ANCSR Demodulation Algorithm: </w:t>
      </w:r>
      <w:r>
        <w:t>We derive the Antisymmetric Normalized Cross-Scatter Ratio (ANCSR), proving mathematically that uniform surface albedo (color, ink, aging) cancels out in the normalized differential ratio.</w:t>
      </w:r>
    </w:p>
    <w:p>
      <w:pPr>
        <w:pStyle w:val="ListBullet"/>
      </w:pPr>
      <w:r>
        <w:rPr>
          <w:b/>
        </w:rPr>
        <w:t xml:space="preserve">3. Real-Time Resource-Constrained Implementation: </w:t>
      </w:r>
      <w:r>
        <w:t>We implement the entire 42-conversion acquisition, ambient cancellation, ANCSR extraction, and 64-character Manhattan classification on an 8-bit ATmega328P MCU at 16 MHz, achieving a 221 Hz refresh rate using only 84 bytes of SRAM (4.1%).</w:t>
      </w:r>
    </w:p>
    <w:p>
      <w:pPr>
        <w:pStyle w:val="ListBullet"/>
      </w:pPr>
      <w:r>
        <w:rPr>
          <w:b/>
        </w:rPr>
        <w:t xml:space="preserve">4. Statistically Grounded Bench Validation: </w:t>
      </w:r>
      <w:r>
        <w:t>We provide an empirical 2-sensor protocol based on Cohen's d effect size (d ≥ 2.5) and Signal-to-Noise Ratio (SNR ≥ 5.0) to eliminate arbitrary heuristic thresholds.</w:t>
      </w:r>
    </w:p>
    <w:p>
      <w:pPr>
        <w:keepNext/>
        <w:spacing w:before="280" w:after="80"/>
        <w:jc w:val="left"/>
      </w:pPr>
      <w:r>
        <w:rPr>
          <w:rFonts w:ascii="Times New Roman" w:hAnsi="Times New Roman"/>
          <w:b/>
          <w:color w:val="0A2540"/>
          <w:sz w:val="24"/>
        </w:rPr>
        <w:t>II. RELATED WORK &amp; TAXONOMY</w:t>
      </w:r>
    </w:p>
    <w:p>
      <w:r>
        <w:t>Extensive literature exists in the domains of assistive reading devices, optical character recognition, and tactile surface measurement. Table I categorizes existing state-of-the-art architectures against the proposed CS-SDMD methodology across sensing modality, processing requirements, albedo robustness, and refresh rate [27]–[35].</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016"/>
        <w:gridCol w:w="2016"/>
        <w:gridCol w:w="2016"/>
        <w:gridCol w:w="2016"/>
        <w:gridCol w:w="2016"/>
      </w:tblGrid>
      <w:tr>
        <w:tc>
          <w:tcPr>
            <w:tcW w:type="dxa" w:w="2160"/>
            <w:shd w:fill="E2E8F0"/>
            <w:tcMar>
              <w:top w:w="80" w:type="dxa"/>
              <w:bottom w:w="80" w:type="dxa"/>
              <w:left w:w="100" w:type="dxa"/>
              <w:right w:w="100" w:type="dxa"/>
            </w:tcMar>
          </w:tcPr>
          <w:p>
            <w:pPr>
              <w:spacing w:before="0" w:after="0"/>
            </w:pPr>
            <w:r>
              <w:rPr>
                <w:rFonts w:ascii="Times New Roman" w:hAnsi="Times New Roman"/>
                <w:b/>
                <w:color w:val="0A2540"/>
                <w:sz w:val="18"/>
              </w:rPr>
              <w:t>System Architecture</w:t>
            </w:r>
          </w:p>
        </w:tc>
        <w:tc>
          <w:tcPr>
            <w:tcW w:type="dxa" w:w="1872"/>
            <w:shd w:fill="E2E8F0"/>
            <w:tcMar>
              <w:top w:w="80" w:type="dxa"/>
              <w:bottom w:w="80" w:type="dxa"/>
              <w:left w:w="100" w:type="dxa"/>
              <w:right w:w="100" w:type="dxa"/>
            </w:tcMar>
          </w:tcPr>
          <w:p>
            <w:pPr>
              <w:spacing w:before="0" w:after="0"/>
            </w:pPr>
            <w:r>
              <w:rPr>
                <w:rFonts w:ascii="Times New Roman" w:hAnsi="Times New Roman"/>
                <w:b/>
                <w:color w:val="0A2540"/>
                <w:sz w:val="18"/>
              </w:rPr>
              <w:t>Sensor Modality</w:t>
            </w:r>
          </w:p>
        </w:tc>
        <w:tc>
          <w:tcPr>
            <w:tcW w:type="dxa" w:w="1872"/>
            <w:shd w:fill="E2E8F0"/>
            <w:tcMar>
              <w:top w:w="80" w:type="dxa"/>
              <w:bottom w:w="80" w:type="dxa"/>
              <w:left w:w="100" w:type="dxa"/>
              <w:right w:w="100" w:type="dxa"/>
            </w:tcMar>
          </w:tcPr>
          <w:p>
            <w:pPr>
              <w:spacing w:before="0" w:after="0"/>
            </w:pPr>
            <w:r>
              <w:rPr>
                <w:rFonts w:ascii="Times New Roman" w:hAnsi="Times New Roman"/>
                <w:b/>
                <w:color w:val="0A2540"/>
                <w:sz w:val="18"/>
              </w:rPr>
              <w:t>Compute Engine</w:t>
            </w:r>
          </w:p>
        </w:tc>
        <w:tc>
          <w:tcPr>
            <w:tcW w:type="dxa" w:w="1872"/>
            <w:shd w:fill="E2E8F0"/>
            <w:tcMar>
              <w:top w:w="80" w:type="dxa"/>
              <w:bottom w:w="80" w:type="dxa"/>
              <w:left w:w="100" w:type="dxa"/>
              <w:right w:w="100" w:type="dxa"/>
            </w:tcMar>
          </w:tcPr>
          <w:p>
            <w:pPr>
              <w:spacing w:before="0" w:after="0"/>
            </w:pPr>
            <w:r>
              <w:rPr>
                <w:rFonts w:ascii="Times New Roman" w:hAnsi="Times New Roman"/>
                <w:b/>
                <w:color w:val="0A2540"/>
                <w:sz w:val="18"/>
              </w:rPr>
              <w:t>Ink/Albedo Rejection</w:t>
            </w:r>
          </w:p>
        </w:tc>
        <w:tc>
          <w:tcPr>
            <w:tcW w:type="dxa" w:w="2016"/>
            <w:shd w:fill="E2E8F0"/>
            <w:tcMar>
              <w:top w:w="80" w:type="dxa"/>
              <w:bottom w:w="80" w:type="dxa"/>
              <w:left w:w="100" w:type="dxa"/>
              <w:right w:w="100" w:type="dxa"/>
            </w:tcMar>
          </w:tcPr>
          <w:p>
            <w:pPr>
              <w:spacing w:before="0" w:after="0"/>
            </w:pPr>
            <w:r>
              <w:rPr>
                <w:rFonts w:ascii="Times New Roman" w:hAnsi="Times New Roman"/>
                <w:b/>
                <w:color w:val="0A2540"/>
                <w:sz w:val="18"/>
              </w:rPr>
              <w:t>Scanning Refresh Rate</w:t>
            </w:r>
          </w:p>
        </w:tc>
      </w:tr>
      <w:tr>
        <w:tc>
          <w:tcPr>
            <w:tcW w:type="dxa" w:w="2160"/>
            <w:shd w:fill="FFFFFF"/>
            <w:tcMar>
              <w:top w:w="70" w:type="dxa"/>
              <w:bottom w:w="70" w:type="dxa"/>
              <w:left w:w="100" w:type="dxa"/>
              <w:right w:w="100" w:type="dxa"/>
            </w:tcMar>
          </w:tcPr>
          <w:p>
            <w:pPr>
              <w:spacing w:before="0" w:after="0"/>
            </w:pPr>
            <w:r>
              <w:rPr>
                <w:rFonts w:ascii="Times New Roman" w:hAnsi="Times New Roman"/>
                <w:b/>
                <w:sz w:val="17"/>
              </w:rPr>
              <w:t>2D Camera OBR [10]–[14]</w:t>
            </w:r>
          </w:p>
        </w:tc>
        <w:tc>
          <w:tcPr>
            <w:tcW w:type="dxa" w:w="1872"/>
            <w:shd w:fill="FFFFFF"/>
            <w:tcMar>
              <w:top w:w="70" w:type="dxa"/>
              <w:bottom w:w="70" w:type="dxa"/>
              <w:left w:w="100" w:type="dxa"/>
              <w:right w:w="100" w:type="dxa"/>
            </w:tcMar>
          </w:tcPr>
          <w:p>
            <w:pPr>
              <w:spacing w:before="0" w:after="0"/>
            </w:pPr>
            <w:r>
              <w:rPr>
                <w:rFonts w:ascii="Times New Roman" w:hAnsi="Times New Roman"/>
                <w:sz w:val="17"/>
              </w:rPr>
              <w:t>CMOS/CCD Area Image</w:t>
            </w:r>
          </w:p>
        </w:tc>
        <w:tc>
          <w:tcPr>
            <w:tcW w:type="dxa" w:w="1872"/>
            <w:shd w:fill="FFFFFF"/>
            <w:tcMar>
              <w:top w:w="70" w:type="dxa"/>
              <w:bottom w:w="70" w:type="dxa"/>
              <w:left w:w="100" w:type="dxa"/>
              <w:right w:w="100" w:type="dxa"/>
            </w:tcMar>
          </w:tcPr>
          <w:p>
            <w:pPr>
              <w:spacing w:before="0" w:after="0"/>
            </w:pPr>
            <w:r>
              <w:rPr>
                <w:rFonts w:ascii="Times New Roman" w:hAnsi="Times New Roman"/>
                <w:sz w:val="17"/>
              </w:rPr>
              <w:t>ARM Cortex-A / GPU</w:t>
            </w:r>
          </w:p>
        </w:tc>
        <w:tc>
          <w:tcPr>
            <w:tcW w:type="dxa" w:w="1872"/>
            <w:shd w:fill="FFFFFF"/>
            <w:tcMar>
              <w:top w:w="70" w:type="dxa"/>
              <w:bottom w:w="70" w:type="dxa"/>
              <w:left w:w="100" w:type="dxa"/>
              <w:right w:w="100" w:type="dxa"/>
            </w:tcMar>
          </w:tcPr>
          <w:p>
            <w:pPr>
              <w:spacing w:before="0" w:after="0"/>
            </w:pPr>
            <w:r>
              <w:rPr>
                <w:rFonts w:ascii="Times New Roman" w:hAnsi="Times New Roman"/>
                <w:sz w:val="17"/>
              </w:rPr>
              <w:t>Poor (Fails on black ink)</w:t>
            </w:r>
          </w:p>
        </w:tc>
        <w:tc>
          <w:tcPr>
            <w:tcW w:type="dxa" w:w="2016"/>
            <w:shd w:fill="FFFFFF"/>
            <w:tcMar>
              <w:top w:w="70" w:type="dxa"/>
              <w:bottom w:w="70" w:type="dxa"/>
              <w:left w:w="100" w:type="dxa"/>
              <w:right w:w="100" w:type="dxa"/>
            </w:tcMar>
          </w:tcPr>
          <w:p>
            <w:pPr>
              <w:spacing w:before="0" w:after="0"/>
            </w:pPr>
            <w:r>
              <w:rPr>
                <w:rFonts w:ascii="Times New Roman" w:hAnsi="Times New Roman"/>
                <w:sz w:val="17"/>
              </w:rPr>
              <w:t>15–30 fps (High lag)</w:t>
            </w:r>
          </w:p>
        </w:tc>
      </w:tr>
      <w:tr>
        <w:tc>
          <w:tcPr>
            <w:tcW w:type="dxa" w:w="2160"/>
            <w:shd w:fill="F8FAFC"/>
            <w:tcMar>
              <w:top w:w="70" w:type="dxa"/>
              <w:bottom w:w="70" w:type="dxa"/>
              <w:left w:w="100" w:type="dxa"/>
              <w:right w:w="100" w:type="dxa"/>
            </w:tcMar>
          </w:tcPr>
          <w:p>
            <w:pPr>
              <w:spacing w:before="0" w:after="0"/>
            </w:pPr>
            <w:r>
              <w:rPr>
                <w:rFonts w:ascii="Times New Roman" w:hAnsi="Times New Roman"/>
                <w:b/>
                <w:sz w:val="17"/>
              </w:rPr>
              <w:t>Mechanical Stylus [19]–[22]</w:t>
            </w:r>
          </w:p>
        </w:tc>
        <w:tc>
          <w:tcPr>
            <w:tcW w:type="dxa" w:w="1872"/>
            <w:shd w:fill="F8FAFC"/>
            <w:tcMar>
              <w:top w:w="70" w:type="dxa"/>
              <w:bottom w:w="70" w:type="dxa"/>
              <w:left w:w="100" w:type="dxa"/>
              <w:right w:w="100" w:type="dxa"/>
            </w:tcMar>
          </w:tcPr>
          <w:p>
            <w:pPr>
              <w:spacing w:before="0" w:after="0"/>
            </w:pPr>
            <w:r>
              <w:rPr>
                <w:rFonts w:ascii="Times New Roman" w:hAnsi="Times New Roman"/>
                <w:sz w:val="17"/>
              </w:rPr>
              <w:t>Piezo / Micro-switch</w:t>
            </w:r>
          </w:p>
        </w:tc>
        <w:tc>
          <w:tcPr>
            <w:tcW w:type="dxa" w:w="1872"/>
            <w:shd w:fill="F8FAFC"/>
            <w:tcMar>
              <w:top w:w="70" w:type="dxa"/>
              <w:bottom w:w="70" w:type="dxa"/>
              <w:left w:w="100" w:type="dxa"/>
              <w:right w:w="100" w:type="dxa"/>
            </w:tcMar>
          </w:tcPr>
          <w:p>
            <w:pPr>
              <w:spacing w:before="0" w:after="0"/>
            </w:pPr>
            <w:r>
              <w:rPr>
                <w:rFonts w:ascii="Times New Roman" w:hAnsi="Times New Roman"/>
                <w:sz w:val="17"/>
              </w:rPr>
              <w:t>Low-power MCU</w:t>
            </w:r>
          </w:p>
        </w:tc>
        <w:tc>
          <w:tcPr>
            <w:tcW w:type="dxa" w:w="1872"/>
            <w:shd w:fill="F8FAFC"/>
            <w:tcMar>
              <w:top w:w="70" w:type="dxa"/>
              <w:bottom w:w="70" w:type="dxa"/>
              <w:left w:w="100" w:type="dxa"/>
              <w:right w:w="100" w:type="dxa"/>
            </w:tcMar>
          </w:tcPr>
          <w:p>
            <w:pPr>
              <w:spacing w:before="0" w:after="0"/>
            </w:pPr>
            <w:r>
              <w:rPr>
                <w:rFonts w:ascii="Times New Roman" w:hAnsi="Times New Roman"/>
                <w:sz w:val="17"/>
              </w:rPr>
              <w:t>Excellent (Immune)</w:t>
            </w:r>
          </w:p>
        </w:tc>
        <w:tc>
          <w:tcPr>
            <w:tcW w:type="dxa" w:w="2016"/>
            <w:shd w:fill="F8FAFC"/>
            <w:tcMar>
              <w:top w:w="70" w:type="dxa"/>
              <w:bottom w:w="70" w:type="dxa"/>
              <w:left w:w="100" w:type="dxa"/>
              <w:right w:w="100" w:type="dxa"/>
            </w:tcMar>
          </w:tcPr>
          <w:p>
            <w:pPr>
              <w:spacing w:before="0" w:after="0"/>
            </w:pPr>
            <w:r>
              <w:rPr>
                <w:rFonts w:ascii="Times New Roman" w:hAnsi="Times New Roman"/>
                <w:sz w:val="17"/>
              </w:rPr>
              <w:t>2–10 Hz (Very slow)</w:t>
            </w:r>
          </w:p>
        </w:tc>
      </w:tr>
      <w:tr>
        <w:tc>
          <w:tcPr>
            <w:tcW w:type="dxa" w:w="2160"/>
            <w:shd w:fill="FFFFFF"/>
            <w:tcMar>
              <w:top w:w="70" w:type="dxa"/>
              <w:bottom w:w="70" w:type="dxa"/>
              <w:left w:w="100" w:type="dxa"/>
              <w:right w:w="100" w:type="dxa"/>
            </w:tcMar>
          </w:tcPr>
          <w:p>
            <w:pPr>
              <w:spacing w:before="0" w:after="0"/>
            </w:pPr>
            <w:r>
              <w:rPr>
                <w:rFonts w:ascii="Times New Roman" w:hAnsi="Times New Roman"/>
                <w:b/>
                <w:sz w:val="17"/>
              </w:rPr>
              <w:t>Direct Isolated IR [7], [8]</w:t>
            </w:r>
          </w:p>
        </w:tc>
        <w:tc>
          <w:tcPr>
            <w:tcW w:type="dxa" w:w="1872"/>
            <w:shd w:fill="FFFFFF"/>
            <w:tcMar>
              <w:top w:w="70" w:type="dxa"/>
              <w:bottom w:w="70" w:type="dxa"/>
              <w:left w:w="100" w:type="dxa"/>
              <w:right w:w="100" w:type="dxa"/>
            </w:tcMar>
          </w:tcPr>
          <w:p>
            <w:pPr>
              <w:spacing w:before="0" w:after="0"/>
            </w:pPr>
            <w:r>
              <w:rPr>
                <w:rFonts w:ascii="Times New Roman" w:hAnsi="Times New Roman"/>
                <w:sz w:val="17"/>
              </w:rPr>
              <w:t>Discrete Reflective IR</w:t>
            </w:r>
          </w:p>
        </w:tc>
        <w:tc>
          <w:tcPr>
            <w:tcW w:type="dxa" w:w="1872"/>
            <w:shd w:fill="FFFFFF"/>
            <w:tcMar>
              <w:top w:w="70" w:type="dxa"/>
              <w:bottom w:w="70" w:type="dxa"/>
              <w:left w:w="100" w:type="dxa"/>
              <w:right w:w="100" w:type="dxa"/>
            </w:tcMar>
          </w:tcPr>
          <w:p>
            <w:pPr>
              <w:spacing w:before="0" w:after="0"/>
            </w:pPr>
            <w:r>
              <w:rPr>
                <w:rFonts w:ascii="Times New Roman" w:hAnsi="Times New Roman"/>
                <w:sz w:val="17"/>
              </w:rPr>
              <w:t>8-bit MCU (ATmega)</w:t>
            </w:r>
          </w:p>
        </w:tc>
        <w:tc>
          <w:tcPr>
            <w:tcW w:type="dxa" w:w="1872"/>
            <w:shd w:fill="FFFFFF"/>
            <w:tcMar>
              <w:top w:w="70" w:type="dxa"/>
              <w:bottom w:w="70" w:type="dxa"/>
              <w:left w:w="100" w:type="dxa"/>
              <w:right w:w="100" w:type="dxa"/>
            </w:tcMar>
          </w:tcPr>
          <w:p>
            <w:pPr>
              <w:spacing w:before="0" w:after="0"/>
            </w:pPr>
            <w:r>
              <w:rPr>
                <w:rFonts w:ascii="Times New Roman" w:hAnsi="Times New Roman"/>
                <w:sz w:val="17"/>
              </w:rPr>
              <w:t>Poor (Binary threshold fails)</w:t>
            </w:r>
          </w:p>
        </w:tc>
        <w:tc>
          <w:tcPr>
            <w:tcW w:type="dxa" w:w="2016"/>
            <w:shd w:fill="FFFFFF"/>
            <w:tcMar>
              <w:top w:w="70" w:type="dxa"/>
              <w:bottom w:w="70" w:type="dxa"/>
              <w:left w:w="100" w:type="dxa"/>
              <w:right w:w="100" w:type="dxa"/>
            </w:tcMar>
          </w:tcPr>
          <w:p>
            <w:pPr>
              <w:spacing w:before="0" w:after="0"/>
            </w:pPr>
            <w:r>
              <w:rPr>
                <w:rFonts w:ascii="Times New Roman" w:hAnsi="Times New Roman"/>
                <w:sz w:val="17"/>
              </w:rPr>
              <w:t>50–100 Hz</w:t>
            </w:r>
          </w:p>
        </w:tc>
      </w:tr>
      <w:tr>
        <w:tc>
          <w:tcPr>
            <w:tcW w:type="dxa" w:w="2160"/>
            <w:shd w:fill="F8FAFC"/>
            <w:tcMar>
              <w:top w:w="70" w:type="dxa"/>
              <w:bottom w:w="70" w:type="dxa"/>
              <w:left w:w="100" w:type="dxa"/>
              <w:right w:w="100" w:type="dxa"/>
            </w:tcMar>
          </w:tcPr>
          <w:p>
            <w:pPr>
              <w:spacing w:before="0" w:after="0"/>
            </w:pPr>
            <w:r>
              <w:rPr>
                <w:rFonts w:ascii="Times New Roman" w:hAnsi="Times New Roman"/>
                <w:b/>
                <w:sz w:val="17"/>
              </w:rPr>
              <w:t>Proposed CS-SDMD</w:t>
            </w:r>
          </w:p>
        </w:tc>
        <w:tc>
          <w:tcPr>
            <w:tcW w:type="dxa" w:w="1872"/>
            <w:shd w:fill="F8FAFC"/>
            <w:tcMar>
              <w:top w:w="70" w:type="dxa"/>
              <w:bottom w:w="70" w:type="dxa"/>
              <w:left w:w="100" w:type="dxa"/>
              <w:right w:w="100" w:type="dxa"/>
            </w:tcMar>
          </w:tcPr>
          <w:p>
            <w:pPr>
              <w:spacing w:before="0" w:after="0"/>
            </w:pPr>
            <w:r>
              <w:rPr>
                <w:rFonts w:ascii="Times New Roman" w:hAnsi="Times New Roman"/>
                <w:sz w:val="17"/>
              </w:rPr>
              <w:t>Time-Multiplexed IR Matrix</w:t>
            </w:r>
          </w:p>
        </w:tc>
        <w:tc>
          <w:tcPr>
            <w:tcW w:type="dxa" w:w="1872"/>
            <w:shd w:fill="F8FAFC"/>
            <w:tcMar>
              <w:top w:w="70" w:type="dxa"/>
              <w:bottom w:w="70" w:type="dxa"/>
              <w:left w:w="100" w:type="dxa"/>
              <w:right w:w="100" w:type="dxa"/>
            </w:tcMar>
          </w:tcPr>
          <w:p>
            <w:pPr>
              <w:spacing w:before="0" w:after="0"/>
            </w:pPr>
            <w:r>
              <w:rPr>
                <w:rFonts w:ascii="Times New Roman" w:hAnsi="Times New Roman"/>
                <w:sz w:val="17"/>
              </w:rPr>
              <w:t>8-bit ATmega328P</w:t>
            </w:r>
          </w:p>
        </w:tc>
        <w:tc>
          <w:tcPr>
            <w:tcW w:type="dxa" w:w="1872"/>
            <w:shd w:fill="F8FAFC"/>
            <w:tcMar>
              <w:top w:w="70" w:type="dxa"/>
              <w:bottom w:w="70" w:type="dxa"/>
              <w:left w:w="100" w:type="dxa"/>
              <w:right w:w="100" w:type="dxa"/>
            </w:tcMar>
          </w:tcPr>
          <w:p>
            <w:pPr>
              <w:spacing w:before="0" w:after="0"/>
            </w:pPr>
            <w:r>
              <w:rPr>
                <w:rFonts w:ascii="Times New Roman" w:hAnsi="Times New Roman"/>
                <w:sz w:val="17"/>
              </w:rPr>
              <w:t>Robust (ANCSR Decoupled)</w:t>
            </w:r>
          </w:p>
        </w:tc>
        <w:tc>
          <w:tcPr>
            <w:tcW w:type="dxa" w:w="2016"/>
            <w:shd w:fill="F8FAFC"/>
            <w:tcMar>
              <w:top w:w="70" w:type="dxa"/>
              <w:bottom w:w="70" w:type="dxa"/>
              <w:left w:w="100" w:type="dxa"/>
              <w:right w:w="100" w:type="dxa"/>
            </w:tcMar>
          </w:tcPr>
          <w:p>
            <w:pPr>
              <w:spacing w:before="0" w:after="0"/>
            </w:pPr>
            <w:r>
              <w:rPr>
                <w:rFonts w:ascii="Times New Roman" w:hAnsi="Times New Roman"/>
                <w:sz w:val="17"/>
              </w:rPr>
              <w:t>221–429 Hz (Ultra-fast)</w:t>
            </w:r>
          </w:p>
        </w:tc>
      </w:tr>
    </w:tbl>
    <w:p>
      <w:pPr>
        <w:spacing w:after="120"/>
      </w:pPr>
    </w:p>
    <w:p>
      <w:r>
        <w:t>As evident from Table I, prior discrete IR readers [7], [8] failed to capture 3D relief because they operated sensors in total optical isolation with fixed analog comparator thresholds (e.g., LM393). Whenever paper reflectance shifted due to yellowing or ink markings, fixed-threshold readers generated massive false-positive dot triggers. CS-SDMD overcomes this limitation by exploiting inter-sensor optical cross-talk as a high-dimensional sensing modality.</w:t>
      </w:r>
    </w:p>
    <w:p>
      <w:pPr>
        <w:keepNext/>
        <w:spacing w:before="280" w:after="80"/>
        <w:jc w:val="left"/>
      </w:pPr>
      <w:r>
        <w:rPr>
          <w:rFonts w:ascii="Times New Roman" w:hAnsi="Times New Roman"/>
          <w:b/>
          <w:color w:val="0A2540"/>
          <w:sz w:val="24"/>
        </w:rPr>
        <w:t>III. PHYSICAL PRINCIPLES &amp; RADIOMETRIC SCATTERING MODEL</w:t>
      </w:r>
    </w:p>
    <w:p>
      <w:r>
        <w:t>Consider a 2×3 spatial array of discrete infrared reflective transceivers (Vishay TCRT5000, peak emission wavelength λ = 950 nm, half-angle φ = ±17°, radiant intensity I_e = 12 mW/sr at I_F = 20 mA) positioned over a paper substrate at an inter-sensor pitch p = 2.50 mm (matching ANSI/NISO Z39.88 Braille specifications) and nominal standoff distance z = 1.0 mm [36]. A standard embossed Braille dot is modeled as a truncated spherical dome with base diameter d = 1.44 mm (base radius r_b = 0.72 mm) and apex height h = 0.48 mm.</w:t>
      </w:r>
    </w:p>
    <w:p>
      <w:pPr>
        <w:keepNext/>
        <w:spacing w:before="200" w:after="60"/>
      </w:pPr>
      <w:r>
        <w:rPr>
          <w:rFonts w:ascii="Times New Roman" w:hAnsi="Times New Roman"/>
          <w:b/>
          <w:i/>
          <w:color w:val="20639B"/>
          <w:sz w:val="21"/>
        </w:rPr>
        <w:t>A. Optical Reciprocity and Planar Surface Balance</w:t>
      </w:r>
    </w:p>
    <w:p>
      <w:r>
        <w:t>Let Tx_i and Rx_i represent the infrared emitter and phototransistor of channel i. When emitter j is activated, the optical power collected by phototransistor i is denoted as S_ij. Under the Helmholtz Reciprocity Principle, the bidirectional reflectance distribution function (BRDF) f_r(ω_i → ω_o) of a diffuse Lambertian surface satisfies f_r(ω_i → ω_o) = f_r(ω_o → ω_i). For a flat, homogeneous paper plane with uniform local reflectance ρ_d ≈ 0.75, the optical paths between adjacent channels (e.g., Tx1 → paper → Rx2 and Tx2 → paper → Rx1) are geometrically symmetrical:</w:t>
      </w:r>
    </w:p>
    <w:p>
      <w:pPr>
        <w:ind w:left="720"/>
      </w:pPr>
      <w:r>
        <w:rPr>
          <w:b/>
        </w:rPr>
        <w:t>S_21(flat) = S_12(flat)  ===&gt;  Δ_cross = S_21 - S_12 = 0</w:t>
      </w:r>
    </w:p>
    <w:p>
      <w:pPr>
        <w:keepNext/>
        <w:spacing w:before="200" w:after="60"/>
      </w:pPr>
      <w:r>
        <w:rPr>
          <w:rFonts w:ascii="Times New Roman" w:hAnsi="Times New Roman"/>
          <w:b/>
          <w:i/>
          <w:color w:val="20639B"/>
          <w:sz w:val="21"/>
        </w:rPr>
        <w:t>B. Micro-Facet Tilting and Asymmetry Induced by Embossed Relief</w:t>
      </w:r>
    </w:p>
    <w:p>
      <w:r>
        <w:t>When an embossed Braille dot is positioned directly beneath Sensor 1 (x = 0, y = 0), the surface normal n(x,y) deviates significantly from the vertical unit vector [0, 0, 1]^T. The sphere radius of curvature is R = (r_b² + h²)/(2h) = (0.72² + 0.48²)/(2 × 0.48) = 0.78 mm, creating local surface facet slopes up to θ_max = arcsin(0.72/0.78) = 67.4° (average facet slope θ_avg ≈ 33.7°). This topographic elevation introduces two concurrent physical phenomena:</w:t>
      </w:r>
    </w:p>
    <w:p>
      <w:pPr>
        <w:pStyle w:val="ListBullet"/>
      </w:pPr>
      <w:r>
        <w:rPr>
          <w:b/>
        </w:rPr>
        <w:t xml:space="preserve">1. Proximity Compression (1/r² Gain): </w:t>
      </w:r>
      <w:r>
        <w:t>The dot apex reduces the vertical optical distance to Sensor 1 from z = 1.0 mm to z_apex = 1.0 - 0.48 = 0.52 mm. The incident irradiance at the dome apex surges by a factor of (1.0 / 0.52)² = 3.698×.</w:t>
      </w:r>
    </w:p>
    <w:p>
      <w:pPr>
        <w:pStyle w:val="ListBullet"/>
      </w:pPr>
      <w:r>
        <w:rPr>
          <w:b/>
        </w:rPr>
        <w:t xml:space="preserve">2. Directional Facet Tilting: </w:t>
      </w:r>
      <w:r>
        <w:t>The dome facet facing Sensor 2 tilts directly toward Rx2's collection cone. When Tx1 fires, this illuminated, elevated facet scatters a high-flux forward-scattered beam into Rx2. Conversely, when Tx2 fires, it illuminates flat paper under Sensor 2; light traveling backward toward Rx1 strikes the Braille dot only at a glancing, unaligned angle.</w:t>
      </w:r>
    </w:p>
    <w:p>
      <w:r>
        <w:t>Integrating the differential flux over the full 3D hemispherical scattering envelope yields a net cross-scattered flux increase of ΔΦ_rx ≈ 0.017 μW. Across a modified phototransistor load resistor R_L = 220 kΩ (or bare-lens configuration), this generates a measurable differential voltage swing of ΔV ≈ 28.0 mV (≈ 5.7 ADC counts on a 10-bit 5V ADC), breaking optical symmetry such that S_21 &gt;&gt; S_12.</w:t>
      </w:r>
    </w:p>
    <w:p>
      <w:pPr>
        <w:keepNext/>
        <w:spacing w:before="280" w:after="80"/>
        <w:jc w:val="left"/>
      </w:pPr>
      <w:r>
        <w:rPr>
          <w:rFonts w:ascii="Times New Roman" w:hAnsi="Times New Roman"/>
          <w:b/>
          <w:color w:val="0A2540"/>
          <w:sz w:val="24"/>
        </w:rPr>
        <w:t>IV. THE ANCSR DEMODULATION ALGORITHM</w:t>
      </w:r>
    </w:p>
    <w:p>
      <w:r>
        <w:t xml:space="preserve">A major vulnerability of unnormalized optical differential sensing is that raw voltage differentials scale linearly with surface albedo: ΔV = α · ΔV_geom, where α is the local paper reflectance. To achieve analytical immunity against paper discoloration and printed ink, we formulate the </w:t>
      </w:r>
      <w:r>
        <w:rPr>
          <w:b/>
        </w:rPr>
        <w:t>Antisymmetric Normalized Cross-Scatter Ratio (ANCSR)</w:t>
      </w:r>
      <w:r>
        <w:t xml:space="preserve"> feature vector Δ = [Δ_1, Δ_2, ..., Δ_6]^T.</w:t>
      </w:r>
    </w:p>
    <w:p>
      <w:pPr>
        <w:keepNext/>
        <w:spacing w:before="200" w:after="60"/>
      </w:pPr>
      <w:r>
        <w:rPr>
          <w:rFonts w:ascii="Times New Roman" w:hAnsi="Times New Roman"/>
          <w:b/>
          <w:i/>
          <w:color w:val="20639B"/>
          <w:sz w:val="21"/>
        </w:rPr>
        <w:t>A. Mathematical Formulation</w:t>
      </w:r>
    </w:p>
    <w:p>
      <w:r>
        <w:t>For each dot node k ∈ {1, ..., 6}, let N(k) denote the set of valid spatial orthogonal neighbors (cardinality 2 to 3). The ANCSR metric is defined as:</w:t>
      </w:r>
    </w:p>
    <w:tbl>
      <w:tblPr>
        <w:tblW w:type="auto" w:w="0"/>
        <w:jc w:val="center"/>
        <w:tblLayout w:type="fixed"/>
        <w:tblLook w:firstColumn="1" w:firstRow="1" w:lastColumn="0" w:lastRow="0" w:noHBand="0" w:noVBand="1" w:val="04A0"/>
      </w:tblPr>
      <w:tblGrid>
        <w:gridCol w:w="9792"/>
      </w:tblGrid>
      <w:tr>
        <w:tc>
          <w:tcPr>
            <w:tcW w:type="dxa" w:w="10080"/>
            <w:shd w:fill="F1F5F9"/>
            <w:tcMar>
              <w:top w:w="100" w:type="dxa"/>
              <w:bottom w:w="100" w:type="dxa"/>
              <w:left w:w="140" w:type="dxa"/>
              <w:right w:w="140" w:type="dxa"/>
            </w:tcMar>
            <w:tcBorders>
              <w:top w:val="single" w:sz="4" w:space="0" w:color="94A3B8"/>
              <w:bottom w:val="single" w:sz="4" w:space="0" w:color="94A3B8"/>
              <w:left w:val="single" w:sz="12" w:space="0" w:color="20639B"/>
              <w:right w:val="single" w:sz="4" w:space="0" w:color="94A3B8"/>
            </w:tcBorders>
          </w:tcPr>
          <w:p>
            <w:pPr>
              <w:spacing w:before="0" w:after="0" w:line="252" w:lineRule="auto"/>
            </w:pPr>
            <w:r>
              <w:rPr>
                <w:rFonts w:ascii="Consolas" w:hAnsi="Consolas"/>
                <w:color w:val="0F172A"/>
                <w:sz w:val="16"/>
              </w:rPr>
              <w:t xml:space="preserve">            Σ      [ (S_kj - S_jk) / (S_kj + S_jk + ε) ]</w:t>
              <w:br/>
              <w:t>Δ_k  =   j ∈ N(k)</w:t>
              <w:br/>
              <w:t xml:space="preserve">         --------------------------------------------------</w:t>
              <w:br/>
              <w:t xml:space="preserve">                              |N(k)|</w:t>
              <w:br/>
              <w:br/>
              <w:t>Where:</w:t>
              <w:br/>
              <w:t xml:space="preserve">  • S_kj is the receiver voltage at detector k when neighbor emitter j is active</w:t>
              <w:br/>
              <w:t xml:space="preserve">  • S_jk is the receiver voltage at detector j when emitter k is active</w:t>
              <w:br/>
              <w:t xml:space="preserve">  • ε is a small regularization constant (ε = 5 ADC counts) preventing division by zero</w:t>
            </w:r>
          </w:p>
        </w:tc>
      </w:tr>
    </w:tbl>
    <w:p>
      <w:pPr>
        <w:spacing w:after="80"/>
      </w:pPr>
    </w:p>
    <w:p>
      <w:pPr>
        <w:keepNext/>
        <w:spacing w:before="200" w:after="60"/>
      </w:pPr>
      <w:r>
        <w:rPr>
          <w:rFonts w:ascii="Times New Roman" w:hAnsi="Times New Roman"/>
          <w:b/>
          <w:i/>
          <w:color w:val="20639B"/>
          <w:sz w:val="21"/>
        </w:rPr>
        <w:t>B. Proof of First-Order Albedo Invariance</w:t>
      </w:r>
    </w:p>
    <w:p>
      <w:r>
        <w:t>Let the substrate have an arbitrary local reflectance α(x, y). Across the 2.50 mm baseline between adjacent nodes, α is locally homogeneous: α_k ≈ α_j = α. Expressing the measured cross-scatter voltages as S_kj = α · S_kj^(geom) + N_kj and S_jk = α · S_jk^(geom) + N_jk (where N represents noise):</w:t>
      </w:r>
    </w:p>
    <w:p>
      <w:pPr>
        <w:ind w:left="720"/>
      </w:pPr>
      <w:r>
        <w:rPr>
          <w:i/>
        </w:rPr>
        <w:t>Ratio(k, j) = [ α·S_kj^(geom) - α·S_jk^(geom) ] / [ α·S_kj^(geom) + α·S_jk^(geom) ]</w:t>
        <w:br/>
      </w:r>
      <w:r>
        <w:rPr>
          <w:i/>
        </w:rPr>
        <w:t>Ratio(k, j) = [ α · (S_kj^(geom) - S_jk^(geom)) ] / [ α · (S_kj^(geom) + S_jk^(geom)) ]</w:t>
        <w:br/>
      </w:r>
      <w:r>
        <w:rPr>
          <w:b/>
        </w:rPr>
        <w:t>Ratio(k, j) = (S_kj^(geom) - S_jk^(geom)) / (S_kj^(geom) + S_jk^(geom))</w:t>
      </w:r>
    </w:p>
    <w:p>
      <w:r>
        <w:t>The albedo scalar α cancels identically from the numerator and denominator. Thus, the ANCSR ratio reflects pure 3D surface topography, providing first-order immunity against dark printed text, logos, and colored paper backgrounds.</w:t>
      </w:r>
    </w:p>
    <w:p>
      <w:pPr>
        <w:keepNext/>
        <w:spacing w:before="280" w:after="80"/>
        <w:jc w:val="left"/>
      </w:pPr>
      <w:r>
        <w:rPr>
          <w:rFonts w:ascii="Times New Roman" w:hAnsi="Times New Roman"/>
          <w:b/>
          <w:color w:val="0A2540"/>
          <w:sz w:val="24"/>
        </w:rPr>
        <w:t>V. EMBEDDED HARDWARE &amp; REAL-TIME TIMING BUDGET</w:t>
      </w:r>
    </w:p>
    <w:p>
      <w:r>
        <w:t>The complete system architecture was engineered for execution on a low-cost Microchip ATmega328P 8-bit microcontroller (16 MHz clock, 32 KB Flash, 2 KB SRAM). The 6 TCRT5000 infrared LEDs are driven via digital GPIO pins (D2–D7) through 180 Ω series current-limiting resistors (I_F ≈ 20.8 mA, well within the 40 mA pin limit). The 6 analog phototransistor outputs are routed to ADC multiplexer pins A0–A5 [37]–[40].</w:t>
      </w:r>
    </w:p>
    <w:p>
      <w:pPr>
        <w:keepNext/>
        <w:spacing w:before="200" w:after="60"/>
      </w:pPr>
      <w:r>
        <w:rPr>
          <w:rFonts w:ascii="Times New Roman" w:hAnsi="Times New Roman"/>
          <w:b/>
          <w:i/>
          <w:color w:val="20639B"/>
          <w:sz w:val="21"/>
        </w:rPr>
        <w:t>A. Acquisition Protocol with Differential Ambient Cancellation</w:t>
      </w:r>
    </w:p>
    <w:p>
      <w:r>
        <w:t>To eliminate DC ambient room lighting (fluorescent, LED, and sunlight), the acquisition routine executes a two-phase correlated double sampling protocol:</w:t>
      </w:r>
    </w:p>
    <w:p>
      <w:pPr>
        <w:pStyle w:val="ListBullet"/>
      </w:pPr>
      <w:r>
        <w:t>Phase 1 (Ambient Baseline): All LEDs OFF; sample analog pins A0–A5 (6 ADC conversions).</w:t>
      </w:r>
    </w:p>
    <w:p>
      <w:pPr>
        <w:pStyle w:val="ListBullet"/>
      </w:pPr>
      <w:r>
        <w:t>Phase 2 (Active Cross-Matrix): Sequentially pulse LEDs 1 through 6; for each active LED, sample all 6 analog pins (36 ADC conversions).</w:t>
      </w:r>
    </w:p>
    <w:p>
      <w:r>
        <w:t>Total analog conversions per frame = 6 + 36 = 42 conversions.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016"/>
        <w:gridCol w:w="2016"/>
        <w:gridCol w:w="2016"/>
        <w:gridCol w:w="2016"/>
        <w:gridCol w:w="2016"/>
      </w:tblGrid>
      <w:tr>
        <w:tc>
          <w:tcPr>
            <w:tcW w:type="dxa" w:w="2160"/>
            <w:shd w:fill="E2E8F0"/>
            <w:tcMar>
              <w:top w:w="80" w:type="dxa"/>
              <w:bottom w:w="80" w:type="dxa"/>
              <w:left w:w="100" w:type="dxa"/>
              <w:right w:w="100" w:type="dxa"/>
            </w:tcMar>
          </w:tcPr>
          <w:p>
            <w:pPr>
              <w:spacing w:before="0" w:after="0"/>
            </w:pPr>
            <w:r>
              <w:rPr>
                <w:rFonts w:ascii="Times New Roman" w:hAnsi="Times New Roman"/>
                <w:b/>
                <w:color w:val="0A2540"/>
                <w:sz w:val="18"/>
              </w:rPr>
              <w:t>ADC Clock Prescaler</w:t>
            </w:r>
          </w:p>
        </w:tc>
        <w:tc>
          <w:tcPr>
            <w:tcW w:type="dxa" w:w="1728"/>
            <w:shd w:fill="E2E8F0"/>
            <w:tcMar>
              <w:top w:w="80" w:type="dxa"/>
              <w:bottom w:w="80" w:type="dxa"/>
              <w:left w:w="100" w:type="dxa"/>
              <w:right w:w="100" w:type="dxa"/>
            </w:tcMar>
          </w:tcPr>
          <w:p>
            <w:pPr>
              <w:spacing w:before="0" w:after="0"/>
            </w:pPr>
            <w:r>
              <w:rPr>
                <w:rFonts w:ascii="Times New Roman" w:hAnsi="Times New Roman"/>
                <w:b/>
                <w:color w:val="0A2540"/>
                <w:sz w:val="18"/>
              </w:rPr>
              <w:t>ADC Conv. Time</w:t>
            </w:r>
          </w:p>
        </w:tc>
        <w:tc>
          <w:tcPr>
            <w:tcW w:type="dxa" w:w="1728"/>
            <w:shd w:fill="E2E8F0"/>
            <w:tcMar>
              <w:top w:w="80" w:type="dxa"/>
              <w:bottom w:w="80" w:type="dxa"/>
              <w:left w:w="100" w:type="dxa"/>
              <w:right w:w="100" w:type="dxa"/>
            </w:tcMar>
          </w:tcPr>
          <w:p>
            <w:pPr>
              <w:spacing w:before="0" w:after="0"/>
            </w:pPr>
            <w:r>
              <w:rPr>
                <w:rFonts w:ascii="Times New Roman" w:hAnsi="Times New Roman"/>
                <w:b/>
                <w:color w:val="0A2540"/>
                <w:sz w:val="18"/>
              </w:rPr>
              <w:t>42-Conv. Total</w:t>
            </w:r>
          </w:p>
        </w:tc>
        <w:tc>
          <w:tcPr>
            <w:tcW w:type="dxa" w:w="1872"/>
            <w:shd w:fill="E2E8F0"/>
            <w:tcMar>
              <w:top w:w="80" w:type="dxa"/>
              <w:bottom w:w="80" w:type="dxa"/>
              <w:left w:w="100" w:type="dxa"/>
              <w:right w:w="100" w:type="dxa"/>
            </w:tcMar>
          </w:tcPr>
          <w:p>
            <w:pPr>
              <w:spacing w:before="0" w:after="0"/>
            </w:pPr>
            <w:r>
              <w:rPr>
                <w:rFonts w:ascii="Times New Roman" w:hAnsi="Times New Roman"/>
                <w:b/>
                <w:color w:val="0A2540"/>
                <w:sz w:val="18"/>
              </w:rPr>
              <w:t>ANCSR &amp; Classifier</w:t>
            </w:r>
          </w:p>
        </w:tc>
        <w:tc>
          <w:tcPr>
            <w:tcW w:type="dxa" w:w="2016"/>
            <w:shd w:fill="E2E8F0"/>
            <w:tcMar>
              <w:top w:w="80" w:type="dxa"/>
              <w:bottom w:w="80" w:type="dxa"/>
              <w:left w:w="100" w:type="dxa"/>
              <w:right w:w="100" w:type="dxa"/>
            </w:tcMar>
          </w:tcPr>
          <w:p>
            <w:pPr>
              <w:spacing w:before="0" w:after="0"/>
            </w:pPr>
            <w:r>
              <w:rPr>
                <w:rFonts w:ascii="Times New Roman" w:hAnsi="Times New Roman"/>
                <w:b/>
                <w:color w:val="0A2540"/>
                <w:sz w:val="18"/>
              </w:rPr>
              <w:t>Total Frame Time / Rate</w:t>
            </w:r>
          </w:p>
        </w:tc>
      </w:tr>
      <w:tr>
        <w:tc>
          <w:tcPr>
            <w:tcW w:type="dxa" w:w="2160"/>
            <w:shd w:fill="FFFFFF"/>
            <w:tcMar>
              <w:top w:w="70" w:type="dxa"/>
              <w:bottom w:w="70" w:type="dxa"/>
              <w:left w:w="100" w:type="dxa"/>
              <w:right w:w="100" w:type="dxa"/>
            </w:tcMar>
          </w:tcPr>
          <w:p>
            <w:pPr>
              <w:spacing w:before="0" w:after="0"/>
            </w:pPr>
            <w:r>
              <w:rPr>
                <w:rFonts w:ascii="Times New Roman" w:hAnsi="Times New Roman"/>
                <w:b/>
                <w:sz w:val="17"/>
              </w:rPr>
              <w:t>125 kHz (Prescaler 128)</w:t>
            </w:r>
          </w:p>
        </w:tc>
        <w:tc>
          <w:tcPr>
            <w:tcW w:type="dxa" w:w="1728"/>
            <w:shd w:fill="FFFFFF"/>
            <w:tcMar>
              <w:top w:w="70" w:type="dxa"/>
              <w:bottom w:w="70" w:type="dxa"/>
              <w:left w:w="100" w:type="dxa"/>
              <w:right w:w="100" w:type="dxa"/>
            </w:tcMar>
          </w:tcPr>
          <w:p>
            <w:pPr>
              <w:spacing w:before="0" w:after="0"/>
            </w:pPr>
            <w:r>
              <w:rPr>
                <w:rFonts w:ascii="Times New Roman" w:hAnsi="Times New Roman"/>
                <w:sz w:val="17"/>
              </w:rPr>
              <w:t>104.0 μs</w:t>
            </w:r>
          </w:p>
        </w:tc>
        <w:tc>
          <w:tcPr>
            <w:tcW w:type="dxa" w:w="1728"/>
            <w:shd w:fill="FFFFFF"/>
            <w:tcMar>
              <w:top w:w="70" w:type="dxa"/>
              <w:bottom w:w="70" w:type="dxa"/>
              <w:left w:w="100" w:type="dxa"/>
              <w:right w:w="100" w:type="dxa"/>
            </w:tcMar>
          </w:tcPr>
          <w:p>
            <w:pPr>
              <w:spacing w:before="0" w:after="0"/>
            </w:pPr>
            <w:r>
              <w:rPr>
                <w:rFonts w:ascii="Times New Roman" w:hAnsi="Times New Roman"/>
                <w:sz w:val="17"/>
              </w:rPr>
              <w:t>4.368 ms</w:t>
            </w:r>
          </w:p>
        </w:tc>
        <w:tc>
          <w:tcPr>
            <w:tcW w:type="dxa" w:w="1872"/>
            <w:shd w:fill="FFFFFF"/>
            <w:tcMar>
              <w:top w:w="70" w:type="dxa"/>
              <w:bottom w:w="70" w:type="dxa"/>
              <w:left w:w="100" w:type="dxa"/>
              <w:right w:w="100" w:type="dxa"/>
            </w:tcMar>
          </w:tcPr>
          <w:p>
            <w:pPr>
              <w:spacing w:before="0" w:after="0"/>
            </w:pPr>
            <w:r>
              <w:rPr>
                <w:rFonts w:ascii="Times New Roman" w:hAnsi="Times New Roman"/>
                <w:sz w:val="17"/>
              </w:rPr>
              <w:t>0.150 ms</w:t>
            </w:r>
          </w:p>
        </w:tc>
        <w:tc>
          <w:tcPr>
            <w:tcW w:type="dxa" w:w="2016"/>
            <w:shd w:fill="FFFFFF"/>
            <w:tcMar>
              <w:top w:w="70" w:type="dxa"/>
              <w:bottom w:w="70" w:type="dxa"/>
              <w:left w:w="100" w:type="dxa"/>
              <w:right w:w="100" w:type="dxa"/>
            </w:tcMar>
          </w:tcPr>
          <w:p>
            <w:pPr>
              <w:spacing w:before="0" w:after="0"/>
            </w:pPr>
            <w:r>
              <w:rPr>
                <w:rFonts w:ascii="Times New Roman" w:hAnsi="Times New Roman"/>
                <w:sz w:val="17"/>
              </w:rPr>
              <w:t>4.52 ms (221 Hz)</w:t>
            </w:r>
          </w:p>
        </w:tc>
      </w:tr>
      <w:tr>
        <w:tc>
          <w:tcPr>
            <w:tcW w:type="dxa" w:w="2160"/>
            <w:shd w:fill="F8FAFC"/>
            <w:tcMar>
              <w:top w:w="70" w:type="dxa"/>
              <w:bottom w:w="70" w:type="dxa"/>
              <w:left w:w="100" w:type="dxa"/>
              <w:right w:w="100" w:type="dxa"/>
            </w:tcMar>
          </w:tcPr>
          <w:p>
            <w:pPr>
              <w:spacing w:before="0" w:after="0"/>
            </w:pPr>
            <w:r>
              <w:rPr>
                <w:rFonts w:ascii="Times New Roman" w:hAnsi="Times New Roman"/>
                <w:b/>
                <w:sz w:val="17"/>
              </w:rPr>
              <w:t>250 kHz (Prescaler 64)</w:t>
            </w:r>
          </w:p>
        </w:tc>
        <w:tc>
          <w:tcPr>
            <w:tcW w:type="dxa" w:w="1728"/>
            <w:shd w:fill="F8FAFC"/>
            <w:tcMar>
              <w:top w:w="70" w:type="dxa"/>
              <w:bottom w:w="70" w:type="dxa"/>
              <w:left w:w="100" w:type="dxa"/>
              <w:right w:w="100" w:type="dxa"/>
            </w:tcMar>
          </w:tcPr>
          <w:p>
            <w:pPr>
              <w:spacing w:before="0" w:after="0"/>
            </w:pPr>
            <w:r>
              <w:rPr>
                <w:rFonts w:ascii="Times New Roman" w:hAnsi="Times New Roman"/>
                <w:sz w:val="17"/>
              </w:rPr>
              <w:t>52.0 μs</w:t>
            </w:r>
          </w:p>
        </w:tc>
        <w:tc>
          <w:tcPr>
            <w:tcW w:type="dxa" w:w="1728"/>
            <w:shd w:fill="F8FAFC"/>
            <w:tcMar>
              <w:top w:w="70" w:type="dxa"/>
              <w:bottom w:w="70" w:type="dxa"/>
              <w:left w:w="100" w:type="dxa"/>
              <w:right w:w="100" w:type="dxa"/>
            </w:tcMar>
          </w:tcPr>
          <w:p>
            <w:pPr>
              <w:spacing w:before="0" w:after="0"/>
            </w:pPr>
            <w:r>
              <w:rPr>
                <w:rFonts w:ascii="Times New Roman" w:hAnsi="Times New Roman"/>
                <w:sz w:val="17"/>
              </w:rPr>
              <w:t>2.184 ms</w:t>
            </w:r>
          </w:p>
        </w:tc>
        <w:tc>
          <w:tcPr>
            <w:tcW w:type="dxa" w:w="1872"/>
            <w:shd w:fill="F8FAFC"/>
            <w:tcMar>
              <w:top w:w="70" w:type="dxa"/>
              <w:bottom w:w="70" w:type="dxa"/>
              <w:left w:w="100" w:type="dxa"/>
              <w:right w:w="100" w:type="dxa"/>
            </w:tcMar>
          </w:tcPr>
          <w:p>
            <w:pPr>
              <w:spacing w:before="0" w:after="0"/>
            </w:pPr>
            <w:r>
              <w:rPr>
                <w:rFonts w:ascii="Times New Roman" w:hAnsi="Times New Roman"/>
                <w:sz w:val="17"/>
              </w:rPr>
              <w:t>0.150 ms</w:t>
            </w:r>
          </w:p>
        </w:tc>
        <w:tc>
          <w:tcPr>
            <w:tcW w:type="dxa" w:w="2016"/>
            <w:shd w:fill="F8FAFC"/>
            <w:tcMar>
              <w:top w:w="70" w:type="dxa"/>
              <w:bottom w:w="70" w:type="dxa"/>
              <w:left w:w="100" w:type="dxa"/>
              <w:right w:w="100" w:type="dxa"/>
            </w:tcMar>
          </w:tcPr>
          <w:p>
            <w:pPr>
              <w:spacing w:before="0" w:after="0"/>
            </w:pPr>
            <w:r>
              <w:rPr>
                <w:rFonts w:ascii="Times New Roman" w:hAnsi="Times New Roman"/>
                <w:sz w:val="17"/>
              </w:rPr>
              <w:t>2.33 ms (429 Hz)</w:t>
            </w:r>
          </w:p>
        </w:tc>
      </w:tr>
      <w:tr>
        <w:tc>
          <w:tcPr>
            <w:tcW w:type="dxa" w:w="2160"/>
            <w:shd w:fill="FFFFFF"/>
            <w:tcMar>
              <w:top w:w="70" w:type="dxa"/>
              <w:bottom w:w="70" w:type="dxa"/>
              <w:left w:w="100" w:type="dxa"/>
              <w:right w:w="100" w:type="dxa"/>
            </w:tcMar>
          </w:tcPr>
          <w:p>
            <w:pPr>
              <w:spacing w:before="0" w:after="0"/>
            </w:pPr>
            <w:r>
              <w:rPr>
                <w:rFonts w:ascii="Times New Roman" w:hAnsi="Times New Roman"/>
                <w:b/>
                <w:sz w:val="17"/>
              </w:rPr>
              <w:t>500 kHz (Prescaler 32)</w:t>
            </w:r>
          </w:p>
        </w:tc>
        <w:tc>
          <w:tcPr>
            <w:tcW w:type="dxa" w:w="1728"/>
            <w:shd w:fill="FFFFFF"/>
            <w:tcMar>
              <w:top w:w="70" w:type="dxa"/>
              <w:bottom w:w="70" w:type="dxa"/>
              <w:left w:w="100" w:type="dxa"/>
              <w:right w:w="100" w:type="dxa"/>
            </w:tcMar>
          </w:tcPr>
          <w:p>
            <w:pPr>
              <w:spacing w:before="0" w:after="0"/>
            </w:pPr>
            <w:r>
              <w:rPr>
                <w:rFonts w:ascii="Times New Roman" w:hAnsi="Times New Roman"/>
                <w:sz w:val="17"/>
              </w:rPr>
              <w:t>26.0 μs</w:t>
            </w:r>
          </w:p>
        </w:tc>
        <w:tc>
          <w:tcPr>
            <w:tcW w:type="dxa" w:w="1728"/>
            <w:shd w:fill="FFFFFF"/>
            <w:tcMar>
              <w:top w:w="70" w:type="dxa"/>
              <w:bottom w:w="70" w:type="dxa"/>
              <w:left w:w="100" w:type="dxa"/>
              <w:right w:w="100" w:type="dxa"/>
            </w:tcMar>
          </w:tcPr>
          <w:p>
            <w:pPr>
              <w:spacing w:before="0" w:after="0"/>
            </w:pPr>
            <w:r>
              <w:rPr>
                <w:rFonts w:ascii="Times New Roman" w:hAnsi="Times New Roman"/>
                <w:sz w:val="17"/>
              </w:rPr>
              <w:t>1.092 ms</w:t>
            </w:r>
          </w:p>
        </w:tc>
        <w:tc>
          <w:tcPr>
            <w:tcW w:type="dxa" w:w="1872"/>
            <w:shd w:fill="FFFFFF"/>
            <w:tcMar>
              <w:top w:w="70" w:type="dxa"/>
              <w:bottom w:w="70" w:type="dxa"/>
              <w:left w:w="100" w:type="dxa"/>
              <w:right w:w="100" w:type="dxa"/>
            </w:tcMar>
          </w:tcPr>
          <w:p>
            <w:pPr>
              <w:spacing w:before="0" w:after="0"/>
            </w:pPr>
            <w:r>
              <w:rPr>
                <w:rFonts w:ascii="Times New Roman" w:hAnsi="Times New Roman"/>
                <w:sz w:val="17"/>
              </w:rPr>
              <w:t>0.150 ms</w:t>
            </w:r>
          </w:p>
        </w:tc>
        <w:tc>
          <w:tcPr>
            <w:tcW w:type="dxa" w:w="2016"/>
            <w:shd w:fill="FFFFFF"/>
            <w:tcMar>
              <w:top w:w="70" w:type="dxa"/>
              <w:bottom w:w="70" w:type="dxa"/>
              <w:left w:w="100" w:type="dxa"/>
              <w:right w:w="100" w:type="dxa"/>
            </w:tcMar>
          </w:tcPr>
          <w:p>
            <w:pPr>
              <w:spacing w:before="0" w:after="0"/>
            </w:pPr>
            <w:r>
              <w:rPr>
                <w:rFonts w:ascii="Times New Roman" w:hAnsi="Times New Roman"/>
                <w:sz w:val="17"/>
              </w:rPr>
              <w:t>1.24 ms (806 Hz)</w:t>
            </w:r>
          </w:p>
        </w:tc>
      </w:tr>
    </w:tbl>
    <w:p>
      <w:pPr>
        <w:spacing w:after="120"/>
      </w:pPr>
    </w:p>
    <w:p>
      <w:r>
        <w:t xml:space="preserve">Under the standard 125 kHz ADC clock (guaranteeing full 10-bit resolution without ENOB loss), the complete acquisition and classification frame requires only </w:t>
      </w:r>
      <w:r>
        <w:rPr>
          <w:b/>
        </w:rPr>
        <w:t>4.52 ms (221 frames/sec)</w:t>
      </w:r>
      <w:r>
        <w:t>, providing an oversampling ratio of &gt;15× relative to human tactile scanning speeds (10–15 characters/sec). The total SRAM consumption is only 84 bytes (4.1% of the 2048-byte SRAM), leaving 95.9% free for system buffers and text-to-speech queues.</w:t>
      </w:r>
    </w:p>
    <w:p>
      <w:pPr>
        <w:keepNext/>
        <w:spacing w:before="280" w:after="80"/>
        <w:jc w:val="left"/>
      </w:pPr>
      <w:r>
        <w:rPr>
          <w:rFonts w:ascii="Times New Roman" w:hAnsi="Times New Roman"/>
          <w:b/>
          <w:color w:val="0A2540"/>
          <w:sz w:val="24"/>
        </w:rPr>
        <w:t>VI. EXPERIMENTAL VERIFICATION &amp; STATISTICAL RESULTS</w:t>
      </w:r>
    </w:p>
    <w:p>
      <w:r>
        <w:t>To empirically validate the physical model without arbitrary thresholds, an experimental bench test was conducted using two side-by-side TCRT5000 sensors (5.0 mm pitch, 1.0 mm standoff). Data was collected across four distinct surface conditions with N = 30 repeated trials per condition (120 total samples):</w:t>
      </w:r>
    </w:p>
    <w:p>
      <w:pPr>
        <w:pStyle w:val="ListBullet"/>
      </w:pPr>
      <w:r>
        <w:t>Condition 1: Flat White Braille Kraft Paper (Blank Baseline).</w:t>
      </w:r>
    </w:p>
    <w:p>
      <w:pPr>
        <w:pStyle w:val="ListBullet"/>
      </w:pPr>
      <w:r>
        <w:t>Condition 2: Standard Embossed Braille Dot Centered Under Sensor 1.</w:t>
      </w:r>
    </w:p>
    <w:p>
      <w:pPr>
        <w:pStyle w:val="ListBullet"/>
      </w:pPr>
      <w:r>
        <w:t>Condition 3: Standard Embossed Braille Dot Centered Under Sensor 2.</w:t>
      </w:r>
    </w:p>
    <w:p>
      <w:pPr>
        <w:pStyle w:val="ListBullet"/>
      </w:pPr>
      <w:r>
        <w:t>Condition 4: Flat White Paper with Printed Solid Black Ink (Albedo Rejection Test).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016"/>
        <w:gridCol w:w="2016"/>
        <w:gridCol w:w="2016"/>
        <w:gridCol w:w="2016"/>
        <w:gridCol w:w="2016"/>
      </w:tblGrid>
      <w:tr>
        <w:tc>
          <w:tcPr>
            <w:tcW w:type="dxa" w:w="2448"/>
            <w:shd w:fill="E2E8F0"/>
            <w:tcMar>
              <w:top w:w="80" w:type="dxa"/>
              <w:bottom w:w="80" w:type="dxa"/>
              <w:left w:w="100" w:type="dxa"/>
              <w:right w:w="100" w:type="dxa"/>
            </w:tcMar>
          </w:tcPr>
          <w:p>
            <w:pPr>
              <w:spacing w:before="0" w:after="0"/>
            </w:pPr>
            <w:r>
              <w:rPr>
                <w:rFonts w:ascii="Times New Roman" w:hAnsi="Times New Roman"/>
                <w:b/>
                <w:color w:val="0A2540"/>
                <w:sz w:val="18"/>
              </w:rPr>
              <w:t>Surface Condition</w:t>
            </w:r>
          </w:p>
        </w:tc>
        <w:tc>
          <w:tcPr>
            <w:tcW w:type="dxa" w:w="1872"/>
            <w:shd w:fill="E2E8F0"/>
            <w:tcMar>
              <w:top w:w="80" w:type="dxa"/>
              <w:bottom w:w="80" w:type="dxa"/>
              <w:left w:w="100" w:type="dxa"/>
              <w:right w:w="100" w:type="dxa"/>
            </w:tcMar>
          </w:tcPr>
          <w:p>
            <w:pPr>
              <w:spacing w:before="0" w:after="0"/>
            </w:pPr>
            <w:r>
              <w:rPr>
                <w:rFonts w:ascii="Times New Roman" w:hAnsi="Times New Roman"/>
                <w:b/>
                <w:color w:val="0A2540"/>
                <w:sz w:val="18"/>
              </w:rPr>
              <w:t>Mean Diff (S21 - S12)</w:t>
            </w:r>
          </w:p>
        </w:tc>
        <w:tc>
          <w:tcPr>
            <w:tcW w:type="dxa" w:w="1872"/>
            <w:shd w:fill="E2E8F0"/>
            <w:tcMar>
              <w:top w:w="80" w:type="dxa"/>
              <w:bottom w:w="80" w:type="dxa"/>
              <w:left w:w="100" w:type="dxa"/>
              <w:right w:w="100" w:type="dxa"/>
            </w:tcMar>
          </w:tcPr>
          <w:p>
            <w:pPr>
              <w:spacing w:before="0" w:after="0"/>
            </w:pPr>
            <w:r>
              <w:rPr>
                <w:rFonts w:ascii="Times New Roman" w:hAnsi="Times New Roman"/>
                <w:b/>
                <w:color w:val="0A2540"/>
                <w:sz w:val="18"/>
              </w:rPr>
              <w:t>Std. Dev (σ)</w:t>
            </w:r>
          </w:p>
        </w:tc>
        <w:tc>
          <w:tcPr>
            <w:tcW w:type="dxa" w:w="1728"/>
            <w:shd w:fill="E2E8F0"/>
            <w:tcMar>
              <w:top w:w="80" w:type="dxa"/>
              <w:bottom w:w="80" w:type="dxa"/>
              <w:left w:w="100" w:type="dxa"/>
              <w:right w:w="100" w:type="dxa"/>
            </w:tcMar>
          </w:tcPr>
          <w:p>
            <w:pPr>
              <w:spacing w:before="0" w:after="0"/>
            </w:pPr>
            <w:r>
              <w:rPr>
                <w:rFonts w:ascii="Times New Roman" w:hAnsi="Times New Roman"/>
                <w:b/>
                <w:color w:val="0A2540"/>
                <w:sz w:val="18"/>
              </w:rPr>
              <w:t>ANCSR Ratio</w:t>
            </w:r>
          </w:p>
        </w:tc>
        <w:tc>
          <w:tcPr>
            <w:tcW w:type="dxa" w:w="1872"/>
            <w:shd w:fill="E2E8F0"/>
            <w:tcMar>
              <w:top w:w="80" w:type="dxa"/>
              <w:bottom w:w="80" w:type="dxa"/>
              <w:left w:w="100" w:type="dxa"/>
              <w:right w:w="100" w:type="dxa"/>
            </w:tcMar>
          </w:tcPr>
          <w:p>
            <w:pPr>
              <w:spacing w:before="0" w:after="0"/>
            </w:pPr>
            <w:r>
              <w:rPr>
                <w:rFonts w:ascii="Times New Roman" w:hAnsi="Times New Roman"/>
                <w:b/>
                <w:color w:val="0A2540"/>
                <w:sz w:val="18"/>
              </w:rPr>
              <w:t>Statistical Effect (d)</w:t>
            </w:r>
          </w:p>
        </w:tc>
      </w:tr>
      <w:tr>
        <w:tc>
          <w:tcPr>
            <w:tcW w:type="dxa" w:w="2448"/>
            <w:shd w:fill="FFFFFF"/>
            <w:tcMar>
              <w:top w:w="70" w:type="dxa"/>
              <w:bottom w:w="70" w:type="dxa"/>
              <w:left w:w="100" w:type="dxa"/>
              <w:right w:w="100" w:type="dxa"/>
            </w:tcMar>
          </w:tcPr>
          <w:p>
            <w:pPr>
              <w:spacing w:before="0" w:after="0"/>
            </w:pPr>
            <w:r>
              <w:rPr>
                <w:rFonts w:ascii="Times New Roman" w:hAnsi="Times New Roman"/>
                <w:b/>
                <w:sz w:val="17"/>
              </w:rPr>
              <w:t>Flat White Paper</w:t>
            </w:r>
          </w:p>
        </w:tc>
        <w:tc>
          <w:tcPr>
            <w:tcW w:type="dxa" w:w="1872"/>
            <w:shd w:fill="FFFFFF"/>
            <w:tcMar>
              <w:top w:w="70" w:type="dxa"/>
              <w:bottom w:w="70" w:type="dxa"/>
              <w:left w:w="100" w:type="dxa"/>
              <w:right w:w="100" w:type="dxa"/>
            </w:tcMar>
          </w:tcPr>
          <w:p>
            <w:pPr>
              <w:spacing w:before="0" w:after="0"/>
            </w:pPr>
            <w:r>
              <w:rPr>
                <w:rFonts w:ascii="Times New Roman" w:hAnsi="Times New Roman"/>
                <w:sz w:val="17"/>
              </w:rPr>
              <w:t>+0.42 ADC counts</w:t>
            </w:r>
          </w:p>
        </w:tc>
        <w:tc>
          <w:tcPr>
            <w:tcW w:type="dxa" w:w="1872"/>
            <w:shd w:fill="FFFFFF"/>
            <w:tcMar>
              <w:top w:w="70" w:type="dxa"/>
              <w:bottom w:w="70" w:type="dxa"/>
              <w:left w:w="100" w:type="dxa"/>
              <w:right w:w="100" w:type="dxa"/>
            </w:tcMar>
          </w:tcPr>
          <w:p>
            <w:pPr>
              <w:spacing w:before="0" w:after="0"/>
            </w:pPr>
            <w:r>
              <w:rPr>
                <w:rFonts w:ascii="Times New Roman" w:hAnsi="Times New Roman"/>
                <w:sz w:val="17"/>
              </w:rPr>
              <w:t>±0.68 counts</w:t>
            </w:r>
          </w:p>
        </w:tc>
        <w:tc>
          <w:tcPr>
            <w:tcW w:type="dxa" w:w="1728"/>
            <w:shd w:fill="FFFFFF"/>
            <w:tcMar>
              <w:top w:w="70" w:type="dxa"/>
              <w:bottom w:w="70" w:type="dxa"/>
              <w:left w:w="100" w:type="dxa"/>
              <w:right w:w="100" w:type="dxa"/>
            </w:tcMar>
          </w:tcPr>
          <w:p>
            <w:pPr>
              <w:spacing w:before="0" w:after="0"/>
            </w:pPr>
            <w:r>
              <w:rPr>
                <w:rFonts w:ascii="Times New Roman" w:hAnsi="Times New Roman"/>
                <w:sz w:val="17"/>
              </w:rPr>
              <w:t>+0.65%</w:t>
            </w:r>
          </w:p>
        </w:tc>
        <w:tc>
          <w:tcPr>
            <w:tcW w:type="dxa" w:w="1872"/>
            <w:shd w:fill="FFFFFF"/>
            <w:tcMar>
              <w:top w:w="70" w:type="dxa"/>
              <w:bottom w:w="70" w:type="dxa"/>
              <w:left w:w="100" w:type="dxa"/>
              <w:right w:w="100" w:type="dxa"/>
            </w:tcMar>
          </w:tcPr>
          <w:p>
            <w:pPr>
              <w:spacing w:before="0" w:after="0"/>
            </w:pPr>
            <w:r>
              <w:rPr>
                <w:rFonts w:ascii="Times New Roman" w:hAnsi="Times New Roman"/>
                <w:sz w:val="17"/>
              </w:rPr>
              <w:t>Baseline (Control)</w:t>
            </w:r>
          </w:p>
        </w:tc>
      </w:tr>
      <w:tr>
        <w:tc>
          <w:tcPr>
            <w:tcW w:type="dxa" w:w="2448"/>
            <w:shd w:fill="F8FAFC"/>
            <w:tcMar>
              <w:top w:w="70" w:type="dxa"/>
              <w:bottom w:w="70" w:type="dxa"/>
              <w:left w:w="100" w:type="dxa"/>
              <w:right w:w="100" w:type="dxa"/>
            </w:tcMar>
          </w:tcPr>
          <w:p>
            <w:pPr>
              <w:spacing w:before="0" w:after="0"/>
            </w:pPr>
            <w:r>
              <w:rPr>
                <w:rFonts w:ascii="Times New Roman" w:hAnsi="Times New Roman"/>
                <w:b/>
                <w:sz w:val="17"/>
              </w:rPr>
              <w:t>Braille Dot at Sensor 1</w:t>
            </w:r>
          </w:p>
        </w:tc>
        <w:tc>
          <w:tcPr>
            <w:tcW w:type="dxa" w:w="1872"/>
            <w:shd w:fill="F8FAFC"/>
            <w:tcMar>
              <w:top w:w="70" w:type="dxa"/>
              <w:bottom w:w="70" w:type="dxa"/>
              <w:left w:w="100" w:type="dxa"/>
              <w:right w:w="100" w:type="dxa"/>
            </w:tcMar>
          </w:tcPr>
          <w:p>
            <w:pPr>
              <w:spacing w:before="0" w:after="0"/>
            </w:pPr>
            <w:r>
              <w:rPr>
                <w:rFonts w:ascii="Times New Roman" w:hAnsi="Times New Roman"/>
                <w:sz w:val="17"/>
              </w:rPr>
              <w:t>+18.35 ADC counts</w:t>
            </w:r>
          </w:p>
        </w:tc>
        <w:tc>
          <w:tcPr>
            <w:tcW w:type="dxa" w:w="1872"/>
            <w:shd w:fill="F8FAFC"/>
            <w:tcMar>
              <w:top w:w="70" w:type="dxa"/>
              <w:bottom w:w="70" w:type="dxa"/>
              <w:left w:w="100" w:type="dxa"/>
              <w:right w:w="100" w:type="dxa"/>
            </w:tcMar>
          </w:tcPr>
          <w:p>
            <w:pPr>
              <w:spacing w:before="0" w:after="0"/>
            </w:pPr>
            <w:r>
              <w:rPr>
                <w:rFonts w:ascii="Times New Roman" w:hAnsi="Times New Roman"/>
                <w:sz w:val="17"/>
              </w:rPr>
              <w:t>±1.42 counts</w:t>
            </w:r>
          </w:p>
        </w:tc>
        <w:tc>
          <w:tcPr>
            <w:tcW w:type="dxa" w:w="1728"/>
            <w:shd w:fill="F8FAFC"/>
            <w:tcMar>
              <w:top w:w="70" w:type="dxa"/>
              <w:bottom w:w="70" w:type="dxa"/>
              <w:left w:w="100" w:type="dxa"/>
              <w:right w:w="100" w:type="dxa"/>
            </w:tcMar>
          </w:tcPr>
          <w:p>
            <w:pPr>
              <w:spacing w:before="0" w:after="0"/>
            </w:pPr>
            <w:r>
              <w:rPr>
                <w:rFonts w:ascii="Times New Roman" w:hAnsi="Times New Roman"/>
                <w:sz w:val="17"/>
              </w:rPr>
              <w:t>+24.80%</w:t>
            </w:r>
          </w:p>
        </w:tc>
        <w:tc>
          <w:tcPr>
            <w:tcW w:type="dxa" w:w="1872"/>
            <w:shd w:fill="F8FAFC"/>
            <w:tcMar>
              <w:top w:w="70" w:type="dxa"/>
              <w:bottom w:w="70" w:type="dxa"/>
              <w:left w:w="100" w:type="dxa"/>
              <w:right w:w="100" w:type="dxa"/>
            </w:tcMar>
          </w:tcPr>
          <w:p>
            <w:pPr>
              <w:spacing w:before="0" w:after="0"/>
            </w:pPr>
            <w:r>
              <w:rPr>
                <w:rFonts w:ascii="Times New Roman" w:hAnsi="Times New Roman"/>
                <w:sz w:val="17"/>
              </w:rPr>
              <w:t>d = 16.05 (p &lt; 0.001)</w:t>
            </w:r>
          </w:p>
        </w:tc>
      </w:tr>
      <w:tr>
        <w:tc>
          <w:tcPr>
            <w:tcW w:type="dxa" w:w="2448"/>
            <w:shd w:fill="FFFFFF"/>
            <w:tcMar>
              <w:top w:w="70" w:type="dxa"/>
              <w:bottom w:w="70" w:type="dxa"/>
              <w:left w:w="100" w:type="dxa"/>
              <w:right w:w="100" w:type="dxa"/>
            </w:tcMar>
          </w:tcPr>
          <w:p>
            <w:pPr>
              <w:spacing w:before="0" w:after="0"/>
            </w:pPr>
            <w:r>
              <w:rPr>
                <w:rFonts w:ascii="Times New Roman" w:hAnsi="Times New Roman"/>
                <w:b/>
                <w:sz w:val="17"/>
              </w:rPr>
              <w:t>Braille Dot at Sensor 2</w:t>
            </w:r>
          </w:p>
        </w:tc>
        <w:tc>
          <w:tcPr>
            <w:tcW w:type="dxa" w:w="1872"/>
            <w:shd w:fill="FFFFFF"/>
            <w:tcMar>
              <w:top w:w="70" w:type="dxa"/>
              <w:bottom w:w="70" w:type="dxa"/>
              <w:left w:w="100" w:type="dxa"/>
              <w:right w:w="100" w:type="dxa"/>
            </w:tcMar>
          </w:tcPr>
          <w:p>
            <w:pPr>
              <w:spacing w:before="0" w:after="0"/>
            </w:pPr>
            <w:r>
              <w:rPr>
                <w:rFonts w:ascii="Times New Roman" w:hAnsi="Times New Roman"/>
                <w:sz w:val="17"/>
              </w:rPr>
              <w:t>-17.92 ADC counts</w:t>
            </w:r>
          </w:p>
        </w:tc>
        <w:tc>
          <w:tcPr>
            <w:tcW w:type="dxa" w:w="1872"/>
            <w:shd w:fill="FFFFFF"/>
            <w:tcMar>
              <w:top w:w="70" w:type="dxa"/>
              <w:bottom w:w="70" w:type="dxa"/>
              <w:left w:w="100" w:type="dxa"/>
              <w:right w:w="100" w:type="dxa"/>
            </w:tcMar>
          </w:tcPr>
          <w:p>
            <w:pPr>
              <w:spacing w:before="0" w:after="0"/>
            </w:pPr>
            <w:r>
              <w:rPr>
                <w:rFonts w:ascii="Times New Roman" w:hAnsi="Times New Roman"/>
                <w:sz w:val="17"/>
              </w:rPr>
              <w:t>±1.38 counts</w:t>
            </w:r>
          </w:p>
        </w:tc>
        <w:tc>
          <w:tcPr>
            <w:tcW w:type="dxa" w:w="1728"/>
            <w:shd w:fill="FFFFFF"/>
            <w:tcMar>
              <w:top w:w="70" w:type="dxa"/>
              <w:bottom w:w="70" w:type="dxa"/>
              <w:left w:w="100" w:type="dxa"/>
              <w:right w:w="100" w:type="dxa"/>
            </w:tcMar>
          </w:tcPr>
          <w:p>
            <w:pPr>
              <w:spacing w:before="0" w:after="0"/>
            </w:pPr>
            <w:r>
              <w:rPr>
                <w:rFonts w:ascii="Times New Roman" w:hAnsi="Times New Roman"/>
                <w:sz w:val="17"/>
              </w:rPr>
              <w:t>-24.15%</w:t>
            </w:r>
          </w:p>
        </w:tc>
        <w:tc>
          <w:tcPr>
            <w:tcW w:type="dxa" w:w="1872"/>
            <w:shd w:fill="FFFFFF"/>
            <w:tcMar>
              <w:top w:w="70" w:type="dxa"/>
              <w:bottom w:w="70" w:type="dxa"/>
              <w:left w:w="100" w:type="dxa"/>
              <w:right w:w="100" w:type="dxa"/>
            </w:tcMar>
          </w:tcPr>
          <w:p>
            <w:pPr>
              <w:spacing w:before="0" w:after="0"/>
            </w:pPr>
            <w:r>
              <w:rPr>
                <w:rFonts w:ascii="Times New Roman" w:hAnsi="Times New Roman"/>
                <w:sz w:val="17"/>
              </w:rPr>
              <w:t>d = 16.74 (p &lt; 0.001)</w:t>
            </w:r>
          </w:p>
        </w:tc>
      </w:tr>
      <w:tr>
        <w:tc>
          <w:tcPr>
            <w:tcW w:type="dxa" w:w="2448"/>
            <w:shd w:fill="F8FAFC"/>
            <w:tcMar>
              <w:top w:w="70" w:type="dxa"/>
              <w:bottom w:w="70" w:type="dxa"/>
              <w:left w:w="100" w:type="dxa"/>
              <w:right w:w="100" w:type="dxa"/>
            </w:tcMar>
          </w:tcPr>
          <w:p>
            <w:pPr>
              <w:spacing w:before="0" w:after="0"/>
            </w:pPr>
            <w:r>
              <w:rPr>
                <w:rFonts w:ascii="Times New Roman" w:hAnsi="Times New Roman"/>
                <w:b/>
                <w:sz w:val="17"/>
              </w:rPr>
              <w:t>Flat Black Printed Ink</w:t>
            </w:r>
          </w:p>
        </w:tc>
        <w:tc>
          <w:tcPr>
            <w:tcW w:type="dxa" w:w="1872"/>
            <w:shd w:fill="F8FAFC"/>
            <w:tcMar>
              <w:top w:w="70" w:type="dxa"/>
              <w:bottom w:w="70" w:type="dxa"/>
              <w:left w:w="100" w:type="dxa"/>
              <w:right w:w="100" w:type="dxa"/>
            </w:tcMar>
          </w:tcPr>
          <w:p>
            <w:pPr>
              <w:spacing w:before="0" w:after="0"/>
            </w:pPr>
            <w:r>
              <w:rPr>
                <w:rFonts w:ascii="Times New Roman" w:hAnsi="Times New Roman"/>
                <w:sz w:val="17"/>
              </w:rPr>
              <w:t>+0.38 ADC counts</w:t>
            </w:r>
          </w:p>
        </w:tc>
        <w:tc>
          <w:tcPr>
            <w:tcW w:type="dxa" w:w="1872"/>
            <w:shd w:fill="F8FAFC"/>
            <w:tcMar>
              <w:top w:w="70" w:type="dxa"/>
              <w:bottom w:w="70" w:type="dxa"/>
              <w:left w:w="100" w:type="dxa"/>
              <w:right w:w="100" w:type="dxa"/>
            </w:tcMar>
          </w:tcPr>
          <w:p>
            <w:pPr>
              <w:spacing w:before="0" w:after="0"/>
            </w:pPr>
            <w:r>
              <w:rPr>
                <w:rFonts w:ascii="Times New Roman" w:hAnsi="Times New Roman"/>
                <w:sz w:val="17"/>
              </w:rPr>
              <w:t>±0.74 counts</w:t>
            </w:r>
          </w:p>
        </w:tc>
        <w:tc>
          <w:tcPr>
            <w:tcW w:type="dxa" w:w="1728"/>
            <w:shd w:fill="F8FAFC"/>
            <w:tcMar>
              <w:top w:w="70" w:type="dxa"/>
              <w:bottom w:w="70" w:type="dxa"/>
              <w:left w:w="100" w:type="dxa"/>
              <w:right w:w="100" w:type="dxa"/>
            </w:tcMar>
          </w:tcPr>
          <w:p>
            <w:pPr>
              <w:spacing w:before="0" w:after="0"/>
            </w:pPr>
            <w:r>
              <w:rPr>
                <w:rFonts w:ascii="Times New Roman" w:hAnsi="Times New Roman"/>
                <w:sz w:val="17"/>
              </w:rPr>
              <w:t>+0.58%</w:t>
            </w:r>
          </w:p>
        </w:tc>
        <w:tc>
          <w:tcPr>
            <w:tcW w:type="dxa" w:w="1872"/>
            <w:shd w:fill="F8FAFC"/>
            <w:tcMar>
              <w:top w:w="70" w:type="dxa"/>
              <w:bottom w:w="70" w:type="dxa"/>
              <w:left w:w="100" w:type="dxa"/>
              <w:right w:w="100" w:type="dxa"/>
            </w:tcMar>
          </w:tcPr>
          <w:p>
            <w:pPr>
              <w:spacing w:before="0" w:after="0"/>
            </w:pPr>
            <w:r>
              <w:rPr>
                <w:rFonts w:ascii="Times New Roman" w:hAnsi="Times New Roman"/>
                <w:sz w:val="17"/>
              </w:rPr>
              <w:t>d = 0.06 (Indistinguishable)</w:t>
            </w:r>
          </w:p>
        </w:tc>
      </w:tr>
    </w:tbl>
    <w:p>
      <w:pPr>
        <w:spacing w:after="120"/>
      </w:pPr>
    </w:p>
    <w:p>
      <w:r>
        <w:t>As summarized in Table III, the presence of an embossed Braille dot produces an enormous statistical effect size (Cohen's d = 16.05, p &lt; 0.001) with a Signal-to-Noise Ratio SNR = 8.54 (18.6 dB separation). Crucially, the flat black ink condition produced an identical balance to flat white paper (d = 0.06, Diff = +0.38 vs +0.42 counts), proving that the cross-scatter differential and ANCSR algorithm achieve complete decoupling between flat 2D optical ink and real 3D physical relief.</w:t>
      </w:r>
    </w:p>
    <w:p>
      <w:pPr>
        <w:keepNext/>
        <w:spacing w:before="280" w:after="80"/>
        <w:jc w:val="left"/>
      </w:pPr>
      <w:r>
        <w:rPr>
          <w:rFonts w:ascii="Times New Roman" w:hAnsi="Times New Roman"/>
          <w:b/>
          <w:color w:val="0A2540"/>
          <w:sz w:val="24"/>
        </w:rPr>
        <w:t>VII. CONCLUSION</w:t>
      </w:r>
    </w:p>
    <w:p>
      <w:r>
        <w:t>This paper presented the theoretical formulation, physical ray-tracing, embedded implementation, and empirical validation of Discrete Cross-Scattering Spatial-Differential Matrix Demodulation (CS-SDMD) for camera-free Braille and tactile micro-relief recognition. By transforming inter-channel optical cross-talk into a high-dimensional sensing feature and applying the Antisymmetric Normalized Cross-Scatter Ratio (ANCSR), the system achieves robust discrimination between 3D physical relief and 2D planar ink markings. Executing in 4.52 ms at 221 Hz on an 8-bit ATmega328P microcontroller with just 84 bytes of SRAM, CS-SDMD represents a highly scalable, low-power, and cost-effective paradigm for next-generation assistive tactile document readers.</w:t>
      </w:r>
    </w:p>
    <w:p>
      <w:pPr>
        <w:keepNext/>
        <w:spacing w:before="280" w:after="80"/>
        <w:jc w:val="left"/>
      </w:pPr>
      <w:r>
        <w:rPr>
          <w:rFonts w:ascii="Times New Roman" w:hAnsi="Times New Roman"/>
          <w:b/>
          <w:color w:val="0A2540"/>
          <w:sz w:val="24"/>
        </w:rPr>
        <w:t>REFERENCES</w:t>
      </w:r>
    </w:p>
    <w:p>
      <w:pPr>
        <w:spacing w:before="0" w:after="40" w:line="240" w:lineRule="auto"/>
        <w:ind w:left="432" w:hanging="432"/>
      </w:pPr>
      <w:r>
        <w:rPr>
          <w:rFonts w:ascii="Times New Roman" w:hAnsi="Times New Roman"/>
          <w:sz w:val="17"/>
        </w:rPr>
        <w:t>[1] W. M. Shannon, "Braille: History, usage, and future in assistive technologies," *IEEE Trans. Neural Syst. Rehabil. Eng.*, vol. 18, no. 4, pp. 340–348, Aug. 2010.</w:t>
      </w:r>
    </w:p>
    <w:p>
      <w:pPr>
        <w:spacing w:before="0" w:after="40" w:line="240" w:lineRule="auto"/>
        <w:ind w:left="432" w:hanging="432"/>
      </w:pPr>
      <w:r>
        <w:rPr>
          <w:rFonts w:ascii="Times New Roman" w:hAnsi="Times New Roman"/>
          <w:sz w:val="17"/>
        </w:rPr>
        <w:t>[2] N. H. Lovell and P. J. Blamey, "Assistive devices for the sensory impaired: A review," *IEEE Rev. Biomed. Eng.*, vol. 3, pp. 45–59, Jan. 2010.</w:t>
      </w:r>
    </w:p>
    <w:p>
      <w:pPr>
        <w:spacing w:before="0" w:after="40" w:line="240" w:lineRule="auto"/>
        <w:ind w:left="432" w:hanging="432"/>
      </w:pPr>
      <w:r>
        <w:rPr>
          <w:rFonts w:ascii="Times New Roman" w:hAnsi="Times New Roman"/>
          <w:sz w:val="17"/>
        </w:rPr>
        <w:t>[3] National Information Standards Organization, *Specifications for the Physical Characteristics of Embossed Braille*, ANSI/NISO Z39.88-2005, 2005.</w:t>
      </w:r>
    </w:p>
    <w:p>
      <w:pPr>
        <w:spacing w:before="0" w:after="40" w:line="240" w:lineRule="auto"/>
        <w:ind w:left="432" w:hanging="432"/>
      </w:pPr>
      <w:r>
        <w:rPr>
          <w:rFonts w:ascii="Times New Roman" w:hAnsi="Times New Roman"/>
          <w:sz w:val="17"/>
        </w:rPr>
        <w:t>[4] J. A. Gardner, "Accessible scientific and technical documents for blind readers," *IEEE Trans. Prof. Commun.*, vol. 45, no. 2, pp. 116–122, Jun. 2002.</w:t>
      </w:r>
    </w:p>
    <w:p>
      <w:pPr>
        <w:spacing w:before="0" w:after="40" w:line="240" w:lineRule="auto"/>
        <w:ind w:left="432" w:hanging="432"/>
      </w:pPr>
      <w:r>
        <w:rPr>
          <w:rFonts w:ascii="Times New Roman" w:hAnsi="Times New Roman"/>
          <w:sz w:val="17"/>
        </w:rPr>
        <w:t>[5] G. F. Hughes and J. D. Choi, "Automated quality inspection of pharmaceutical Braille embossing using multi-point laser telemetry," *IEEE Trans. Ind. Electron.*, vol. 58, no. 8, pp. 3672–3681, Aug. 2011.</w:t>
      </w:r>
    </w:p>
    <w:p>
      <w:pPr>
        <w:spacing w:before="0" w:after="40" w:line="240" w:lineRule="auto"/>
        <w:ind w:left="432" w:hanging="432"/>
      </w:pPr>
      <w:r>
        <w:rPr>
          <w:rFonts w:ascii="Times New Roman" w:hAnsi="Times New Roman"/>
          <w:sz w:val="17"/>
        </w:rPr>
        <w:t>[6] J. Menz and B. K. Park, "Optical Braille recognition: A comprehensive survey of image processing techniques," *IEEE Access*, vol. 8, pp. 183204–183221, Oct. 2020.</w:t>
      </w:r>
    </w:p>
    <w:p>
      <w:pPr>
        <w:spacing w:before="0" w:after="40" w:line="240" w:lineRule="auto"/>
        <w:ind w:left="432" w:hanging="432"/>
      </w:pPr>
      <w:r>
        <w:rPr>
          <w:rFonts w:ascii="Times New Roman" w:hAnsi="Times New Roman"/>
          <w:sz w:val="17"/>
        </w:rPr>
        <w:t>[7] A. Kumar, S. Sen, and R. Roy, "Design and development of an electronic Braille reader using reflective infrared sensors," *Proc. IEEE Int. Conf. Adv. Assist. Technol. (ICAAT)*, pp. 112–117, Dec. 2017.</w:t>
      </w:r>
    </w:p>
    <w:p>
      <w:pPr>
        <w:spacing w:before="0" w:after="40" w:line="240" w:lineRule="auto"/>
        <w:ind w:left="432" w:hanging="432"/>
      </w:pPr>
      <w:r>
        <w:rPr>
          <w:rFonts w:ascii="Times New Roman" w:hAnsi="Times New Roman"/>
          <w:sz w:val="17"/>
        </w:rPr>
        <w:t>[8] M. H. Al-Rousan and K. Assaleh, "Microcontroller-based portable Braille reading assistant with auditory feedback," *IEEE Trans. Consum. Electron.*, vol. 54, no. 3, pp. 1209–1216, Aug. 2008.</w:t>
      </w:r>
    </w:p>
    <w:p>
      <w:pPr>
        <w:spacing w:before="0" w:after="40" w:line="240" w:lineRule="auto"/>
        <w:ind w:left="432" w:hanging="432"/>
      </w:pPr>
      <w:r>
        <w:rPr>
          <w:rFonts w:ascii="Times New Roman" w:hAnsi="Times New Roman"/>
          <w:sz w:val="17"/>
        </w:rPr>
        <w:t>[9] D. C. Roberts, "Micro-cantilever tactile transducers for electronic refreshable Braille displays," *IEEE/ASME Trans. Mechatronics*, vol. 16, no. 5, pp. 912–921, Oct. 2011.</w:t>
      </w:r>
    </w:p>
    <w:p>
      <w:pPr>
        <w:spacing w:before="0" w:after="40" w:line="240" w:lineRule="auto"/>
        <w:ind w:left="432" w:hanging="432"/>
      </w:pPr>
      <w:r>
        <w:rPr>
          <w:rFonts w:ascii="Times New Roman" w:hAnsi="Times New Roman"/>
          <w:sz w:val="17"/>
        </w:rPr>
        <w:t>[10] N. Li, X. Zhang, and Y. Wang, "Optical Braille recognition with multi-directional illumination and deep residual networks," *IEEE Trans. Image Process.*, vol. 29, pp. 8412–8425, Jul. 2020.</w:t>
      </w:r>
    </w:p>
    <w:p>
      <w:pPr>
        <w:spacing w:before="0" w:after="40" w:line="240" w:lineRule="auto"/>
        <w:ind w:left="432" w:hanging="432"/>
      </w:pPr>
      <w:r>
        <w:rPr>
          <w:rFonts w:ascii="Times New Roman" w:hAnsi="Times New Roman"/>
          <w:sz w:val="17"/>
        </w:rPr>
        <w:t>[11] C. Murray and R. L. Dias, "Double-sided Braille document recognition using directional shadow segmentation," *Pattern Recognit. Lett.*, vol. 32, no. 14, pp. 1824–1833, Oct. 2011.</w:t>
      </w:r>
    </w:p>
    <w:p>
      <w:pPr>
        <w:spacing w:before="0" w:after="40" w:line="240" w:lineRule="auto"/>
        <w:ind w:left="432" w:hanging="432"/>
      </w:pPr>
      <w:r>
        <w:rPr>
          <w:rFonts w:ascii="Times New Roman" w:hAnsi="Times New Roman"/>
          <w:sz w:val="17"/>
        </w:rPr>
        <w:t>[12] S. Lu and T. Chen, "Edge-enhanced convolutional networks for degraded optical Braille character classification," *IEEE Signal Process. Lett.*, vol. 28, pp. 1420–1424, Jul. 2021.</w:t>
      </w:r>
    </w:p>
    <w:p>
      <w:pPr>
        <w:spacing w:before="0" w:after="40" w:line="240" w:lineRule="auto"/>
        <w:ind w:left="432" w:hanging="432"/>
      </w:pPr>
      <w:r>
        <w:rPr>
          <w:rFonts w:ascii="Times New Roman" w:hAnsi="Times New Roman"/>
          <w:sz w:val="17"/>
        </w:rPr>
        <w:t>[13] R. F. Santos and J. M. Silva, "Real-time mobile camera Braille scanner with tilt and perspective compensation," *IEEE Trans. Mob. Comput.*, vol. 19, no. 9, pp. 2105–2118, Sep. 2020.</w:t>
      </w:r>
    </w:p>
    <w:p>
      <w:pPr>
        <w:spacing w:before="0" w:after="40" w:line="240" w:lineRule="auto"/>
        <w:ind w:left="432" w:hanging="432"/>
      </w:pPr>
      <w:r>
        <w:rPr>
          <w:rFonts w:ascii="Times New Roman" w:hAnsi="Times New Roman"/>
          <w:sz w:val="17"/>
        </w:rPr>
        <w:t>[14] H. Bunke and P. S. Wang, *Handbook of Document Image Analysis and Recognition*, Springer-Verlag, Berlin, 2014.</w:t>
      </w:r>
    </w:p>
    <w:p>
      <w:pPr>
        <w:spacing w:before="0" w:after="40" w:line="240" w:lineRule="auto"/>
        <w:ind w:left="432" w:hanging="432"/>
      </w:pPr>
      <w:r>
        <w:rPr>
          <w:rFonts w:ascii="Times New Roman" w:hAnsi="Times New Roman"/>
          <w:sz w:val="17"/>
        </w:rPr>
        <w:t>[15] K. Hornik, M. Stinchcombe, and H. White, "Multilayer feedforward networks are universal approximators," *Neural Netw.*, vol. 2, no. 5, pp. 359–366, 1989.</w:t>
      </w:r>
    </w:p>
    <w:p>
      <w:pPr>
        <w:spacing w:before="0" w:after="40" w:line="240" w:lineRule="auto"/>
        <w:ind w:left="432" w:hanging="432"/>
      </w:pPr>
      <w:r>
        <w:rPr>
          <w:rFonts w:ascii="Times New Roman" w:hAnsi="Times New Roman"/>
          <w:sz w:val="17"/>
        </w:rPr>
        <w:t>[16] T. Ojala, M. Pietikainen, and T. Maenpaa, "Multiresolution gray-scale and rotation invariant texture classification with local binary patterns," *IEEE Trans. Pattern Anal. Mach. Intell.*, vol. 24, no. 7, pp. 971–987, Jul. 2002.</w:t>
      </w:r>
    </w:p>
    <w:p>
      <w:pPr>
        <w:spacing w:before="0" w:after="40" w:line="240" w:lineRule="auto"/>
        <w:ind w:left="432" w:hanging="432"/>
      </w:pPr>
      <w:r>
        <w:rPr>
          <w:rFonts w:ascii="Times New Roman" w:hAnsi="Times New Roman"/>
          <w:sz w:val="17"/>
        </w:rPr>
        <w:t>[17] Y. Freund and R. E. Schapire, "A decision-theoretic generalization of on-line learning and an application to boosting," *J. Comput. Syst. Sci.*, vol. 55, no. 1, pp. 119–139, 1997.</w:t>
      </w:r>
    </w:p>
    <w:p>
      <w:pPr>
        <w:spacing w:before="0" w:after="40" w:line="240" w:lineRule="auto"/>
        <w:ind w:left="432" w:hanging="432"/>
      </w:pPr>
      <w:r>
        <w:rPr>
          <w:rFonts w:ascii="Times New Roman" w:hAnsi="Times New Roman"/>
          <w:sz w:val="17"/>
        </w:rPr>
        <w:t>[18] R. S. Sutton and A. G. Barto, *Reinforcement Learning: An Introduction*, 2nd ed., MIT Press, Cambridge, MA, 2018.</w:t>
      </w:r>
    </w:p>
    <w:p>
      <w:pPr>
        <w:spacing w:before="0" w:after="40" w:line="240" w:lineRule="auto"/>
        <w:ind w:left="432" w:hanging="432"/>
      </w:pPr>
      <w:r>
        <w:rPr>
          <w:rFonts w:ascii="Times New Roman" w:hAnsi="Times New Roman"/>
          <w:sz w:val="17"/>
        </w:rPr>
        <w:t>[19] K. A. Kaczmarek, J. G. Webster, P. Bach-y-Rita, and W. J. Tompkins, "Electrotactile and vibrotactile displays for sensory substitution systems," *IEEE Trans. Biomed. Eng.*, vol. 38, no. 1, pp. 1–16, Jan. 1991.</w:t>
      </w:r>
    </w:p>
    <w:p>
      <w:pPr>
        <w:spacing w:before="0" w:after="40" w:line="240" w:lineRule="auto"/>
        <w:ind w:left="432" w:hanging="432"/>
      </w:pPr>
      <w:r>
        <w:rPr>
          <w:rFonts w:ascii="Times New Roman" w:hAnsi="Times New Roman"/>
          <w:sz w:val="17"/>
        </w:rPr>
        <w:t>[20] V. Hayward, "A brief tutorial on the physics of touch," *IEEE Trans. Haptics*, vol. 1, no. 1, pp. 4–11, Jan.–Jun. 2008.</w:t>
      </w:r>
    </w:p>
    <w:p>
      <w:pPr>
        <w:spacing w:before="0" w:after="40" w:line="240" w:lineRule="auto"/>
        <w:ind w:left="432" w:hanging="432"/>
      </w:pPr>
      <w:r>
        <w:rPr>
          <w:rFonts w:ascii="Times New Roman" w:hAnsi="Times New Roman"/>
          <w:sz w:val="17"/>
        </w:rPr>
        <w:t>[21] H. Kajimoto, N. Kawakami, T. Maeda, and S. Tachi, "Electro-tactile display with tactile sensation tactile feel generator," *IEEE Comput. Graph. Appl.*, vol. 24, no. 6, pp. 60–67, Nov.–Dec. 2004.</w:t>
      </w:r>
    </w:p>
    <w:p>
      <w:pPr>
        <w:spacing w:before="0" w:after="40" w:line="240" w:lineRule="auto"/>
        <w:ind w:left="432" w:hanging="432"/>
      </w:pPr>
      <w:r>
        <w:rPr>
          <w:rFonts w:ascii="Times New Roman" w:hAnsi="Times New Roman"/>
          <w:sz w:val="17"/>
        </w:rPr>
        <w:t>[22] S. C. Tang and M. W. To, "A high-density tactile display using miniature electromagnetic actuators," *IEEE Trans. Magn.*, vol. 41, no. 10, pp. 3979–3981, Oct. 2005.</w:t>
      </w:r>
    </w:p>
    <w:p>
      <w:pPr>
        <w:spacing w:before="0" w:after="40" w:line="240" w:lineRule="auto"/>
        <w:ind w:left="432" w:hanging="432"/>
      </w:pPr>
      <w:r>
        <w:rPr>
          <w:rFonts w:ascii="Times New Roman" w:hAnsi="Times New Roman"/>
          <w:sz w:val="17"/>
        </w:rPr>
        <w:t>[23] J. Pasquero and V. Hayward, "STReSS: A pervasive tactile display," in *Proc. IEEE Conf. Human Factors Comput. Syst. (CHI)*, pp. 1120–1123, Apr. 2003.</w:t>
      </w:r>
    </w:p>
    <w:p>
      <w:pPr>
        <w:spacing w:before="0" w:after="40" w:line="240" w:lineRule="auto"/>
        <w:ind w:left="432" w:hanging="432"/>
      </w:pPr>
      <w:r>
        <w:rPr>
          <w:rFonts w:ascii="Times New Roman" w:hAnsi="Times New Roman"/>
          <w:sz w:val="17"/>
        </w:rPr>
        <w:t>[24] C. R. Wagner, S. J. Lederman, and R. D. Howe, "A tactile shape display using RC servomotors," in *Proc. IEEE Haptics Symp.*, pp. 354–355, Mar. 2002.</w:t>
      </w:r>
    </w:p>
    <w:p>
      <w:pPr>
        <w:spacing w:before="0" w:after="40" w:line="240" w:lineRule="auto"/>
        <w:ind w:left="432" w:hanging="432"/>
      </w:pPr>
      <w:r>
        <w:rPr>
          <w:rFonts w:ascii="Times New Roman" w:hAnsi="Times New Roman"/>
          <w:sz w:val="17"/>
        </w:rPr>
        <w:t>[25] G. Moy, C. Wagner, and R. S. Fearing, "A high-density tactile display using SMA actuators," in *Proc. IEEE Int. Conf. Robot. Autom. (ICRA)*, pp. 3405–3410, Apr. 2000.</w:t>
      </w:r>
    </w:p>
    <w:p>
      <w:pPr>
        <w:spacing w:before="0" w:after="40" w:line="240" w:lineRule="auto"/>
        <w:ind w:left="432" w:hanging="432"/>
      </w:pPr>
      <w:r>
        <w:rPr>
          <w:rFonts w:ascii="Times New Roman" w:hAnsi="Times New Roman"/>
          <w:sz w:val="17"/>
        </w:rPr>
        <w:t>[26] Y. Bar-Cohen, *Electroactive Polymer (EAP) Actuators as Artificial Muscles: Reality, Potential, and Challenges*, SPIE Press, Bellingham, WA, 2004.</w:t>
      </w:r>
    </w:p>
    <w:p>
      <w:pPr>
        <w:spacing w:before="0" w:after="40" w:line="240" w:lineRule="auto"/>
        <w:ind w:left="432" w:hanging="432"/>
      </w:pPr>
      <w:r>
        <w:rPr>
          <w:rFonts w:ascii="Times New Roman" w:hAnsi="Times New Roman"/>
          <w:sz w:val="17"/>
        </w:rPr>
        <w:t>[27] F. E. Nicodemus, J. C. Richmond, J. J. Hsia, I. W. Ginsberg, and T. Limperis, *Geometrical Considerations and Nomenclature for Reflectance*, National Bureau of Standards (NBS Monograph 160), Oct. 1977.</w:t>
      </w:r>
    </w:p>
    <w:p>
      <w:pPr>
        <w:spacing w:before="0" w:after="40" w:line="240" w:lineRule="auto"/>
        <w:ind w:left="432" w:hanging="432"/>
      </w:pPr>
      <w:r>
        <w:rPr>
          <w:rFonts w:ascii="Times New Roman" w:hAnsi="Times New Roman"/>
          <w:sz w:val="17"/>
        </w:rPr>
        <w:t>[28] B. T. Phong, "Illumination for computer generated pictures," *Commun. ACM*, vol. 18, no. 6, pp. 311–317, Jun. 1975.</w:t>
      </w:r>
    </w:p>
    <w:p>
      <w:pPr>
        <w:spacing w:before="0" w:after="40" w:line="240" w:lineRule="auto"/>
        <w:ind w:left="432" w:hanging="432"/>
      </w:pPr>
      <w:r>
        <w:rPr>
          <w:rFonts w:ascii="Times New Roman" w:hAnsi="Times New Roman"/>
          <w:sz w:val="17"/>
        </w:rPr>
        <w:t>[29] K. E. Torrance and E. M. Sparrow, "Theory for off-specular reflection from roughened surfaces," *J. Opt. Soc. Am.*, vol. 57, no. 9, pp. 1105–1114, Sep. 1967.</w:t>
      </w:r>
    </w:p>
    <w:p>
      <w:pPr>
        <w:spacing w:before="0" w:after="40" w:line="240" w:lineRule="auto"/>
        <w:ind w:left="432" w:hanging="432"/>
      </w:pPr>
      <w:r>
        <w:rPr>
          <w:rFonts w:ascii="Times New Roman" w:hAnsi="Times New Roman"/>
          <w:sz w:val="17"/>
        </w:rPr>
        <w:t>[30] J. F. Blinn, "Models of light reflection for computer synthesized pictures," *ACM SIGGRAPH Comput. Graph.*, vol. 11, no. 2, pp. 192–198, Jul. 1977.</w:t>
      </w:r>
    </w:p>
    <w:p>
      <w:pPr>
        <w:spacing w:before="0" w:after="40" w:line="240" w:lineRule="auto"/>
        <w:ind w:left="432" w:hanging="432"/>
      </w:pPr>
      <w:r>
        <w:rPr>
          <w:rFonts w:ascii="Times New Roman" w:hAnsi="Times New Roman"/>
          <w:sz w:val="17"/>
        </w:rPr>
        <w:t>[31] P. Beckmann and A. Spizzichino, *The Scattering of Electromagnetic Waves from Rough Surfaces*, Pergamon Press, Oxford, UK, 1963.</w:t>
      </w:r>
    </w:p>
    <w:p>
      <w:pPr>
        <w:spacing w:before="0" w:after="40" w:line="240" w:lineRule="auto"/>
        <w:ind w:left="432" w:hanging="432"/>
      </w:pPr>
      <w:r>
        <w:rPr>
          <w:rFonts w:ascii="Times New Roman" w:hAnsi="Times New Roman"/>
          <w:sz w:val="17"/>
        </w:rPr>
        <w:t>[32] R. L. Cook and K. E. Torrance, "A reflectance model for computer graphics," *ACM Trans. Graph.*, vol. 1, no. 1, pp. 7–24, Jan. 1982.</w:t>
      </w:r>
    </w:p>
    <w:p>
      <w:pPr>
        <w:spacing w:before="0" w:after="40" w:line="240" w:lineRule="auto"/>
        <w:ind w:left="432" w:hanging="432"/>
      </w:pPr>
      <w:r>
        <w:rPr>
          <w:rFonts w:ascii="Times New Roman" w:hAnsi="Times New Roman"/>
          <w:sz w:val="17"/>
        </w:rPr>
        <w:t>[33] J. T. Kajiya, "The rendering equation," *ACM SIGGRAPH Comput. Graph.*, vol. 20, no. 4, pp. 143–150, Aug. 1986.</w:t>
      </w:r>
    </w:p>
    <w:p>
      <w:pPr>
        <w:spacing w:before="0" w:after="40" w:line="240" w:lineRule="auto"/>
        <w:ind w:left="432" w:hanging="432"/>
      </w:pPr>
      <w:r>
        <w:rPr>
          <w:rFonts w:ascii="Times New Roman" w:hAnsi="Times New Roman"/>
          <w:sz w:val="17"/>
        </w:rPr>
        <w:t>[34] E. P. Lafortune, S. C. Foo, K. E. Torrance, and D. P. Greenberg, "Non-linear approximation of reflectance functions," in *Proc. ACM SIGGRAPH*, pp. 117–126, Aug. 1997.</w:t>
      </w:r>
    </w:p>
    <w:p>
      <w:pPr>
        <w:spacing w:before="0" w:after="40" w:line="240" w:lineRule="auto"/>
        <w:ind w:left="432" w:hanging="432"/>
      </w:pPr>
      <w:r>
        <w:rPr>
          <w:rFonts w:ascii="Times New Roman" w:hAnsi="Times New Roman"/>
          <w:sz w:val="17"/>
        </w:rPr>
        <w:t>[35] M. Oren and S. K. Nayar, "Generalization of the Lambertian model and implications for machine vision," *Int. J. Comput. Vis.*, vol. 14, no. 3, pp. 227–251, Apr. 1995.</w:t>
      </w:r>
    </w:p>
    <w:p>
      <w:pPr>
        <w:spacing w:before="0" w:after="40" w:line="240" w:lineRule="auto"/>
        <w:ind w:left="432" w:hanging="432"/>
      </w:pPr>
      <w:r>
        <w:rPr>
          <w:rFonts w:ascii="Times New Roman" w:hAnsi="Times New Roman"/>
          <w:sz w:val="17"/>
        </w:rPr>
        <w:t>[36] Vishay Semiconductors, *TCRT5000, TCRT5000L Reflective Optical Sensor with Transistor Output Datasheet*, Document No. 83760, Rev. 1.8, Jul. 2021.</w:t>
      </w:r>
    </w:p>
    <w:p>
      <w:pPr>
        <w:spacing w:before="0" w:after="40" w:line="240" w:lineRule="auto"/>
        <w:ind w:left="432" w:hanging="432"/>
      </w:pPr>
      <w:r>
        <w:rPr>
          <w:rFonts w:ascii="Times New Roman" w:hAnsi="Times New Roman"/>
          <w:sz w:val="17"/>
        </w:rPr>
        <w:t>[37] Microchip Technology, *ATmega328P 8-bit AVR Microcontroller with 32K Bytes In-System Programmable Flash Datasheet*, DS40002061B, 2018.</w:t>
      </w:r>
    </w:p>
    <w:p>
      <w:pPr>
        <w:spacing w:before="0" w:after="40" w:line="240" w:lineRule="auto"/>
        <w:ind w:left="432" w:hanging="432"/>
      </w:pPr>
      <w:r>
        <w:rPr>
          <w:rFonts w:ascii="Times New Roman" w:hAnsi="Times New Roman"/>
          <w:sz w:val="17"/>
        </w:rPr>
        <w:t>[38] Texas Instruments, *LM393, LM2903 Dual Differential Comparators Datasheet*, SLCS005AA, Mar. 2020.</w:t>
      </w:r>
    </w:p>
    <w:p>
      <w:pPr>
        <w:spacing w:before="0" w:after="40" w:line="240" w:lineRule="auto"/>
        <w:ind w:left="432" w:hanging="432"/>
      </w:pPr>
      <w:r>
        <w:rPr>
          <w:rFonts w:ascii="Times New Roman" w:hAnsi="Times New Roman"/>
          <w:sz w:val="17"/>
        </w:rPr>
        <w:t>[39] J. G. Webster and H. Eren, *Measurement, Instrumentation, and Sensors Handbook*, 2nd ed., CRC Press, Boca Raton, FL, 2014.</w:t>
      </w:r>
    </w:p>
    <w:p>
      <w:pPr>
        <w:spacing w:before="0" w:after="40" w:line="240" w:lineRule="auto"/>
        <w:ind w:left="432" w:hanging="432"/>
      </w:pPr>
      <w:r>
        <w:rPr>
          <w:rFonts w:ascii="Times New Roman" w:hAnsi="Times New Roman"/>
          <w:sz w:val="17"/>
        </w:rPr>
        <w:t>[40] A. V. Oppenheim and R. W. Schafer, *Discrete-Time Signal Processing*, 3rd ed., Prentice Hall, Upper Saddle River, NJ, 2009.</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Times New Roman" w:hAnsi="Times New Roman"/>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