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1"/>
        </w:rPr>
        <w:t>Development of a Multi-Format DVB-S2 Receiver Output</w:t>
        <w:br/>
        <w:t>Stream Analyzer with Anomaly Detection and Diagnostic Reporting</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3456"/>
        <w:gridCol w:w="3456"/>
        <w:gridCol w:w="3456"/>
      </w:tblGrid>
      <w:tr>
        <w:tc>
          <w:tcPr>
            <w:tcW w:type="dxa" w:w="3456"/>
            <w:tcMar>
              <w:top w:w="0" w:type="dxa"/>
              <w:bottom w:w="0" w:type="dxa"/>
              <w:left w:w="30" w:type="dxa"/>
              <w:right w:w="30" w:type="dxa"/>
            </w:tcMar>
          </w:tcPr>
          <w:p>
            <w:pPr>
              <w:spacing w:after="20"/>
              <w:jc w:val="center"/>
            </w:pPr>
            <w:r>
              <w:rPr>
                <w:rFonts w:ascii="Times New Roman" w:hAnsi="Times New Roman"/>
                <w:b/>
                <w:sz w:val="20"/>
              </w:rPr>
              <w:t>Y Vengala Rao</w:t>
              <w:br/>
            </w:r>
            <w:r>
              <w:rPr>
                <w:rFonts w:ascii="Times New Roman" w:hAnsi="Times New Roman"/>
                <w:sz w:val="17"/>
              </w:rPr>
              <w:t>Roll No: 20231COM0001</w:t>
              <w:br/>
            </w:r>
            <w:r>
              <w:rPr>
                <w:rFonts w:ascii="Times New Roman" w:hAnsi="Times New Roman"/>
                <w:i/>
                <w:sz w:val="16"/>
              </w:rPr>
              <w:t>Dept. of Computer Science &amp; Eng.</w:t>
              <w:br/>
              <w:t>Presidency University, India</w:t>
            </w:r>
          </w:p>
        </w:tc>
        <w:tc>
          <w:tcPr>
            <w:tcW w:type="dxa" w:w="3456"/>
            <w:tcMar>
              <w:top w:w="0" w:type="dxa"/>
              <w:bottom w:w="0" w:type="dxa"/>
              <w:left w:w="30" w:type="dxa"/>
              <w:right w:w="30" w:type="dxa"/>
            </w:tcMar>
          </w:tcPr>
          <w:p>
            <w:pPr>
              <w:spacing w:after="20"/>
              <w:jc w:val="center"/>
            </w:pPr>
            <w:r>
              <w:rPr>
                <w:rFonts w:ascii="Times New Roman" w:hAnsi="Times New Roman"/>
                <w:b/>
                <w:sz w:val="20"/>
              </w:rPr>
              <w:t>Sk Samad</w:t>
              <w:br/>
            </w:r>
            <w:r>
              <w:rPr>
                <w:rFonts w:ascii="Times New Roman" w:hAnsi="Times New Roman"/>
                <w:sz w:val="17"/>
              </w:rPr>
              <w:t>Roll No: 20231COM0031</w:t>
              <w:br/>
            </w:r>
            <w:r>
              <w:rPr>
                <w:rFonts w:ascii="Times New Roman" w:hAnsi="Times New Roman"/>
                <w:i/>
                <w:sz w:val="16"/>
              </w:rPr>
              <w:t>Dept. of Computer Science &amp; Eng.</w:t>
              <w:br/>
              <w:t>Presidency University, India</w:t>
            </w:r>
          </w:p>
        </w:tc>
        <w:tc>
          <w:tcPr>
            <w:tcW w:type="dxa" w:w="3456"/>
            <w:tcMar>
              <w:top w:w="0" w:type="dxa"/>
              <w:bottom w:w="0" w:type="dxa"/>
              <w:left w:w="30" w:type="dxa"/>
              <w:right w:w="30" w:type="dxa"/>
            </w:tcMar>
          </w:tcPr>
          <w:p>
            <w:pPr>
              <w:spacing w:after="20"/>
              <w:jc w:val="center"/>
            </w:pPr>
            <w:r>
              <w:rPr>
                <w:rFonts w:ascii="Times New Roman" w:hAnsi="Times New Roman"/>
                <w:b/>
                <w:sz w:val="20"/>
              </w:rPr>
              <w:t>C Rakeshwar</w:t>
              <w:br/>
            </w:r>
            <w:r>
              <w:rPr>
                <w:rFonts w:ascii="Times New Roman" w:hAnsi="Times New Roman"/>
                <w:sz w:val="17"/>
              </w:rPr>
              <w:t>Roll No: 20231COM0008</w:t>
              <w:br/>
            </w:r>
            <w:r>
              <w:rPr>
                <w:rFonts w:ascii="Times New Roman" w:hAnsi="Times New Roman"/>
                <w:i/>
                <w:sz w:val="16"/>
              </w:rPr>
              <w:t>Dept. of Computer Science &amp; Eng.</w:t>
              <w:br/>
              <w:t>Presidency University, India</w:t>
            </w:r>
          </w:p>
        </w:tc>
      </w:tr>
    </w:tbl>
    <w:p>
      <w:pPr>
        <w:spacing w:before="80" w:after="0"/>
      </w:pPr>
    </w:p>
    <w:p>
      <w:pPr>
        <w:sectPr>
          <w:pgSz w:w="12240" w:h="15840"/>
          <w:pgMar w:top="936" w:right="936" w:bottom="936" w:left="936" w:header="720" w:footer="720" w:gutter="0"/>
          <w:docGrid w:linePitch="360"/>
          <w:cols w:num="1" w:space="360"/>
        </w:sectPr>
      </w:pPr>
    </w:p>
    <w:p>
      <w:pPr>
        <w:spacing w:after="60"/>
        <w:ind w:firstLine="0"/>
        <w:jc w:val="both"/>
      </w:pPr>
      <w:r>
        <w:rPr>
          <w:rFonts w:ascii="Times New Roman" w:hAnsi="Times New Roman"/>
          <w:b/>
          <w:i/>
          <w:sz w:val="17"/>
        </w:rPr>
        <w:t>Abstract—</w:t>
      </w:r>
      <w:r>
        <w:rPr>
          <w:rFonts w:ascii="Times New Roman" w:hAnsi="Times New Roman"/>
          <w:sz w:val="17"/>
        </w:rPr>
        <w:t>Digital Video Broadcasting via Satellite (DVB-S2) establishes the prevailing physical and link framing architecture for satellite broadband, high-definition television contribution, and mobile backhaul links. Satellite receiver demodulators extract baseband data from radio-frequency downlinks and deliver post-demodulation digital streams spanning several incompatible encapsulation standards: MPEG-2 Transport Streams (MPEG-TS), Generic Stream Encapsulation (GSE), and DVB-S2 Baseband Frames (BBFrame). Diagnostic inspection across these heterogeneous formats creates substantial operational friction: each framing layer employs distinct boundary markers, synchronization mechanisms, and failure profiles that legacy single-protocol inspection tools fail to harmonize. This work introduces PRJ_111, an integrated, self-contained software suite engineered to perform multi-format DVB-S2 receiver stream evaluation, unsupervised anomaly discovery, and systematic diagnostic generation. The system incorporates an integrated seven-stage analytical pipeline providing deterministic stream health accounting rooted in ETSI TR 101 290 Priority-1 criteria, unsupervised anomaly isolation utilizing format-segregated Isolation Forest ensembles, Shannon entropy and multiplex distribution profiling, byte-referenced physical activity mapping, clamped Z-score diagnostic attribution, semantically shielded cross-format stream differentials, and automated diagnostic synthesis structured around an empirical tripartite epistemology. Empirical validation on broadcast satellite captures demonstrates deterministic stream accounting (100.0% clean; 99.67% corrupted with exact transport error tracking), unsupervised localization of multiplex burst transients and file truncation boundaries, and strict semantic separation. The system is verified by an automated regression suite of 304 tests (268 backend modules and 36 frontend integration tests) attaining a 100% verification pass rate with zero failures, zero errors, and zero omissions.</w:t>
      </w:r>
    </w:p>
    <w:p>
      <w:pPr>
        <w:spacing w:after="120"/>
        <w:ind w:firstLine="0"/>
        <w:jc w:val="both"/>
      </w:pPr>
      <w:r>
        <w:rPr>
          <w:rFonts w:ascii="Times New Roman" w:hAnsi="Times New Roman"/>
          <w:b/>
          <w:i/>
          <w:sz w:val="17"/>
        </w:rPr>
        <w:t>Index Terms—</w:t>
      </w:r>
      <w:r>
        <w:rPr>
          <w:rFonts w:ascii="Times New Roman" w:hAnsi="Times New Roman"/>
          <w:i/>
          <w:sz w:val="17"/>
        </w:rPr>
        <w:t>Anomaly detection, Baseband frame, Digital video broadcasting, DVB-S2, Feature extraction, Generic stream encapsulation, Isolation Forest, MPEG transport stream, Receiver output analysis, Stream analysis.</w:t>
      </w:r>
    </w:p>
    <w:p>
      <w:pPr>
        <w:spacing w:before="140" w:after="40"/>
        <w:ind w:firstLine="0"/>
        <w:jc w:val="center"/>
      </w:pPr>
      <w:r>
        <w:rPr>
          <w:rFonts w:ascii="Times New Roman" w:hAnsi="Times New Roman"/>
          <w:b/>
          <w:sz w:val="19"/>
        </w:rPr>
        <w:t>I. INTRODUCTION</w:t>
      </w:r>
    </w:p>
    <w:p>
      <w:pPr>
        <w:spacing w:after="50"/>
        <w:ind w:firstLine="230"/>
        <w:jc w:val="both"/>
      </w:pPr>
      <w:r>
        <w:rPr>
          <w:rFonts w:ascii="Times New Roman" w:hAnsi="Times New Roman"/>
          <w:sz w:val="19"/>
        </w:rPr>
        <w:t>The Second Generation Digital Video Broadcasting by Satellite standard (DVB-S2, ETSI EN 302 307-1) governs high-throughput space-to-ground digital transmission across global satellite infrastructures [1]. Situated downstream of the satellite low-noise block downconverter (LNB) and intermediate-frequency (IF) tuner circuitry, the receiver demodulator performs signal acquisition, matched pulse filtering, concatenated forward error correction (FEC) decoding using outer Bose-Chaudhuri-Hocquenghem (BCH) and inner Low-Density Parity-Check (LDPC) codes, and baseband packet recovery [2]. The resulting post-demodulator digital stream constitutes the primary interface between wireless satellite link propagation and terrestrial networking hardware.</w:t>
      </w:r>
    </w:p>
    <w:p>
      <w:pPr>
        <w:spacing w:after="50"/>
        <w:ind w:firstLine="230"/>
        <w:jc w:val="both"/>
      </w:pPr>
      <w:r>
        <w:rPr>
          <w:rFonts w:ascii="Times New Roman" w:hAnsi="Times New Roman"/>
          <w:sz w:val="19"/>
        </w:rPr>
        <w:t>Across operational ground stations, teleports, and satellite communication terminals, post-demodulator bitstreams exhibit substantial structural diversity across three standardized digital framing layers:</w:t>
        <w:br/>
        <w:t>1) MPEG-2 Transport Stream (MPEG-TS): Continuous 188-byte framing units delimited by recurring 0x47 sync octets, featuring 13-bit Program Identifiers (PIDs) and 4-bit continuity counters, widely deployed across broadcast television [3].</w:t>
        <w:br/>
        <w:t>2) Generic Stream Encapsulation (GSE): Variable-length protocol data units (PDUs) featuring 2-bit start/end fragmentation specifiers, 16-bit EtherType protocol identifiers, and cyclic redundancy checksums, engineered for native IP satellite transport [4].</w:t>
        <w:br/>
        <w:t>3) DVB-S2 Baseband Frames (BBFrame): The direct physical-layer container defined by an 80-bit Baseband Header (BBHeader), Mode Adaptation flags (MATYPE-1/2), User Packet Length (UPL), Data Field Length (DFL), and an 8-bit CRC header syndrome [1].</w:t>
      </w:r>
    </w:p>
    <w:p>
      <w:pPr>
        <w:spacing w:after="50"/>
        <w:ind w:firstLine="230"/>
        <w:jc w:val="both"/>
      </w:pPr>
      <w:r>
        <w:rPr>
          <w:rFonts w:ascii="Times New Roman" w:hAnsi="Times New Roman"/>
          <w:sz w:val="19"/>
        </w:rPr>
        <w:t>Thorough inspection of receiver output streams is essential during satellite ground station commissioning, transponder bandwidth verification, link integrity audits, and root-cause fault diagnosis. Nonetheless, inspecting these heterogeneous bitstreams with existing utilities creates persistent engineering hurdles [5]. General-purpose network analyzers (such as Wireshark) assume Ethernet frame encapsulation, necessitating custom external dissector plugins that lack native support for raw concatenated transport streams or unencapsulated baseband bitstreams [6]. In contrast, specialized broadcast hardware appliances remain overwhelmingly locked to MPEG-TS, providing minimal native parsing for modern DVB-S2 baseband frames or GSE IP encapsulation [5].</w:t>
      </w:r>
    </w:p>
    <w:p>
      <w:pPr>
        <w:spacing w:after="50"/>
        <w:ind w:firstLine="230"/>
        <w:jc w:val="both"/>
      </w:pPr>
      <w:r>
        <w:rPr>
          <w:rFonts w:ascii="Times New Roman" w:hAnsi="Times New Roman"/>
          <w:sz w:val="19"/>
        </w:rPr>
        <w:t>In addition, contemporary diagnostic workflows encounter three systemic engineering bottlenecks: 1) Framing Heterogeneity and Parser Brittleness: Digital stream captures arrive as unindexed raw binary dumps (.ts, .gse, .bin, .pcap). Naive file-extension heuristics regularly misclassify encapsulation types, while unhardened decoders crash or lose cadence upon encountering sync slip or bit errors. 2) Incommensurable Cross-Format Telemetry: Comparing container tallies, PDU counts, and baseband frame tallies without semantic conversion produces false equivalence, misleading satellite operators through the direct juxtaposition of structurally incompatible parameters. 3) Epistemic Overreach in Stream Diagnostics: Commercial telemetry monitors frequently synthesize artificial clock timestamps or calculate fictitious Megabit-per-second (Mbps) transfer curves from static capture files where no receiver clock telemetry exists, or assert speculative physical-layer root causes.</w:t>
      </w:r>
    </w:p>
    <w:p>
      <w:pPr>
        <w:spacing w:after="50"/>
        <w:ind w:firstLine="230"/>
        <w:jc w:val="both"/>
      </w:pPr>
      <w:r>
        <w:rPr>
          <w:rFonts w:ascii="Times New Roman" w:hAnsi="Times New Roman"/>
          <w:sz w:val="19"/>
        </w:rPr>
        <w:t>To overcome these limitations, this paper presents PRJ_111, an extensible, modular software application engineered for multi-format DVB-S2 receiver output stream analysis. PRJ_111 establishes an integrated seven-feature analytical pipeline (F1–F7) that performs content-aware format sniffer ingestion, deterministic framing parsing, unified feature extraction, rule-based stream health analysis (F1), unsupervised Isolation Forest anomaly detection (F2), structural pattern and entropy analysis (F3), physical spatial activity timelines (F4), bounded Z-score diagnostic anomaly explanations (F5), semantically guarded stream comparisons (F6), and automated multi-format diagnostic report generation (F7).</w:t>
      </w:r>
    </w:p>
    <w:p>
      <w:pPr>
        <w:spacing w:before="140" w:after="40"/>
        <w:ind w:firstLine="0"/>
        <w:jc w:val="center"/>
      </w:pPr>
      <w:r>
        <w:rPr>
          <w:rFonts w:ascii="Times New Roman" w:hAnsi="Times New Roman"/>
          <w:b/>
          <w:sz w:val="19"/>
        </w:rPr>
        <w:t>II. RELATED WORK</w:t>
      </w:r>
    </w:p>
    <w:p>
      <w:pPr>
        <w:spacing w:after="50"/>
        <w:ind w:firstLine="230"/>
        <w:jc w:val="both"/>
      </w:pPr>
      <w:r>
        <w:rPr>
          <w:rFonts w:ascii="Times New Roman" w:hAnsi="Times New Roman"/>
          <w:sz w:val="19"/>
        </w:rPr>
        <w:t>The DVB-S2 standard (ETSI EN 302 307-1) governs physical framing, forward error correction, and modulation, specifying Adaptive Coding and Modulation (ACM) alongside native baseband containers [1]. Morello and Mignone [2] evaluated the physical-layer mechanisms of DVB-S2, demonstrating how variable user datagrams are packed into baseband structures safeguarded by concatenated inner LDPC and outer BCH codes. Casini et al. [7] explored higher-order modulation schemes spanning QPSK through 32-APSK, examining the 80-bit Baseband Header (BBHeader), square-root raised cosine roll-off values (α ∈ {0.20, 0.25, 0.35}), and Data Field Length (DFL) bit allocation. Sklar [8] formulated the theoretical bedrock for digital modulation, channel coding capacity, and baseband framing boundaries in digital communication channels.</w:t>
      </w:r>
    </w:p>
    <w:p>
      <w:pPr>
        <w:spacing w:after="50"/>
        <w:ind w:firstLine="230"/>
        <w:jc w:val="both"/>
      </w:pPr>
      <w:r>
        <w:rPr>
          <w:rFonts w:ascii="Times New Roman" w:hAnsi="Times New Roman"/>
          <w:sz w:val="19"/>
        </w:rPr>
        <w:t>For network-layer packet distribution, Fairhurst and Collini-Nocker [9] formulated Generic Stream Encapsulation (ETSI TS 102 606-1) [4] as a low-overhead successor to Multi-Protocol Encapsulation (MPE over MPEG-TS) and Unidirectional Lightweight Encapsulation (ULE, RFC 4326) [10]. GSE standardizes variable-length protocol data units carrying native IP datagrams with per-fragment CRC-32 protection, eliminating the transport stream encapsulation overhead. Meanwhile, digital television transport continues to rely upon the MPEG-2 Transport Stream (ISO/IEC 13818-1) [3]. Measurement guidelines for broadcast verification are codified in ETSI TR 101 290 [11], specifying Priority-1 operational parameters: synchronization loss, Transport Error Indicator (TEI) flags, and Continuity Counter (CC) sequence violations. Associated service metadata is governed by ETSI EN 300 468 [12].</w:t>
      </w:r>
    </w:p>
    <w:p>
      <w:pPr>
        <w:spacing w:after="50"/>
        <w:ind w:firstLine="230"/>
        <w:jc w:val="both"/>
      </w:pPr>
      <w:r>
        <w:rPr>
          <w:rFonts w:ascii="Times New Roman" w:hAnsi="Times New Roman"/>
          <w:sz w:val="19"/>
        </w:rPr>
        <w:t>Luisi et al. [5] evaluated satellite broadcast monitoring tools, observing that while specialized hardware instruments accurately flag ETSI TR 101 290 Priority-1 defects, they generally lack native parsing capabilities for emerging IP encapsulation schemes (GSE and BBFrames) output by contemporary broadband receivers. Minoli [6] surveyed network packet inspection software, highlighting that general-purpose sniffers treat raw stream dumps as opaque binary blobs unless enveloped in standard network capture headers (e.g., PCAP).</w:t>
      </w:r>
    </w:p>
    <w:p>
      <w:pPr>
        <w:spacing w:after="50"/>
        <w:ind w:firstLine="230"/>
        <w:jc w:val="both"/>
      </w:pPr>
      <w:r>
        <w:rPr>
          <w:rFonts w:ascii="Times New Roman" w:hAnsi="Times New Roman"/>
          <w:sz w:val="19"/>
        </w:rPr>
        <w:t>Surveys by Chandola et al. [13] and Pimentel et al. [14] trace the evolution of telemetry anomaly detection. Traditional statistical monitoring depends on rigid, static thresholds, which struggle in statistically multiplexed channels where instantaneous bitrates fluctuate dynamically. Conversely, supervised classification demands extensive ground-truth anomaly annotations [13]. In live satellite telemetry, labeled anomaly corpora are practically nonexistent. To analyze unannotated streaming telemetry, Liu et al. [15] introduced the Isolation Forest algorithm, constructing ensembles of random isolation trees (iTrees). Abnormal instances require fewer random partitions to isolate, yielding significantly shorter average tree paths [15]. Baggio et al. [17] proved that Isolation Forest achieves linear computational efficiency (O(n log n)) and robust outlier sensitivity compared to density or distance-based algorithms. PRJ_111 adapts Isolation Forest to DVB-S2 stream telemetry, conducting format-isolated spatial-window anomaly detection equipped with calibrated logistic decision boundaries.</w:t>
      </w:r>
    </w:p>
    <w:p>
      <w:pPr>
        <w:sectPr>
          <w:type w:val="continuous"/>
          <w:pgSz w:w="12240" w:h="15840"/>
          <w:pgMar w:top="936" w:right="936" w:bottom="936" w:left="936" w:header="720" w:footer="720" w:gutter="0"/>
          <w:docGrid w:linePitch="360"/>
          <w:cols w:num="2" w:space="360"/>
        </w:sectPr>
      </w:pPr>
    </w:p>
    <w:p>
      <w:pPr>
        <w:spacing w:before="80" w:after="40"/>
        <w:jc w:val="center"/>
      </w:pPr>
    </w:p>
    <w:p>
      <w:r>
        <w:drawing>
          <wp:inline xmlns:a="http://schemas.openxmlformats.org/drawingml/2006/main" xmlns:pic="http://schemas.openxmlformats.org/drawingml/2006/picture">
            <wp:extent cx="5669280" cy="402617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4026170"/>
                    </a:xfrm>
                    <a:prstGeom prst="rect"/>
                  </pic:spPr>
                </pic:pic>
              </a:graphicData>
            </a:graphic>
          </wp:inline>
        </w:drawing>
      </w:r>
    </w:p>
    <w:p>
      <w:pPr>
        <w:spacing w:before="40" w:after="100"/>
        <w:ind w:firstLine="0"/>
        <w:jc w:val="center"/>
      </w:pPr>
      <w:r>
        <w:rPr>
          <w:rFonts w:ascii="Times New Roman" w:hAnsi="Times New Roman"/>
          <w:b/>
          <w:sz w:val="16"/>
        </w:rPr>
        <w:t xml:space="preserve">Fig. 1. </w:t>
      </w:r>
      <w:r>
        <w:rPr>
          <w:rFonts w:ascii="Times New Roman" w:hAnsi="Times New Roman"/>
          <w:sz w:val="16"/>
        </w:rPr>
        <w:t>End-to-End Architectural Pipeline of PRJ_111 (Stages 1 through 6).</w:t>
      </w:r>
    </w:p>
    <w:p>
      <w:pPr>
        <w:sectPr>
          <w:type w:val="continuous"/>
          <w:pgSz w:w="12240" w:h="15840"/>
          <w:pgMar w:top="936" w:right="936" w:bottom="936" w:left="936" w:header="720" w:footer="720" w:gutter="0"/>
          <w:docGrid w:linePitch="360"/>
          <w:cols w:num="1" w:space="360"/>
        </w:sectPr>
      </w:pPr>
    </w:p>
    <w:p>
      <w:pPr>
        <w:spacing w:before="140" w:after="40"/>
        <w:ind w:firstLine="0"/>
        <w:jc w:val="center"/>
      </w:pPr>
      <w:r>
        <w:rPr>
          <w:rFonts w:ascii="Times New Roman" w:hAnsi="Times New Roman"/>
          <w:b/>
          <w:sz w:val="19"/>
        </w:rPr>
        <w:t>III. SYSTEM ARCHITECTURE AND WORKSTATION</w:t>
      </w:r>
    </w:p>
    <w:p>
      <w:pPr>
        <w:spacing w:after="50"/>
        <w:ind w:firstLine="230"/>
        <w:jc w:val="both"/>
      </w:pPr>
      <w:r>
        <w:rPr>
          <w:rFonts w:ascii="Times New Roman" w:hAnsi="Times New Roman"/>
          <w:sz w:val="19"/>
        </w:rPr>
        <w:t>PRJ_111 is implemented in Python 3.12 as a local engineering workstation with zero external cloud dependencies:</w:t>
        <w:br/>
        <w:t>• Backend Core &amp; Ingestion Engine: Pure Python modular architecture (parsers/, features/, analysis/, streaming/). Supports multi-mode stream processing: Standard in-memory sequential parsing, 64 KB block-buffered Chunked streaming for large continuous captures, and High-Throughput zero-copy memory-mapped (mmap) processing.</w:t>
        <w:br/>
        <w:t>• Machine Learning Layer: Scikit-learn (IsolationForest) coupled with NumPy and SciPy for numerical vector operations and bounded Z-score feature attribution.</w:t>
        <w:br/>
        <w:t>• Controlled Fault-Injection Benchmark: Multi-format synthetic mutation framework (TEI corruption, CC discontinuities, PDU truncation, BBFrame CRC-8 corruption) enabling empirical before-vs-after anomaly sensitivity scoring.</w:t>
        <w:br/>
        <w:t>• HTTP Gateway &amp; Workstation: Multi-threaded native Python HTTP server (ThreadingHTTPServer) exposing a RESTful JSON API (/api/status, /api/analyze, /api/compare, /api/upload, /api/export, /api/fault-inject) and Single-Page Application (SPA) dashboard.</w:t>
      </w:r>
    </w:p>
    <w:p>
      <w:pPr>
        <w:spacing w:before="140" w:after="40"/>
        <w:ind w:firstLine="0"/>
        <w:jc w:val="center"/>
      </w:pPr>
      <w:r>
        <w:rPr>
          <w:rFonts w:ascii="Times New Roman" w:hAnsi="Times New Roman"/>
          <w:b/>
          <w:sz w:val="19"/>
        </w:rPr>
        <w:t>IV. MULTI-FORMAT STREAM PROCESSING</w:t>
      </w:r>
    </w:p>
    <w:p>
      <w:pPr>
        <w:spacing w:after="50"/>
        <w:ind w:firstLine="230"/>
        <w:jc w:val="both"/>
      </w:pPr>
      <w:r>
        <w:rPr>
          <w:rFonts w:ascii="Times New Roman" w:hAnsi="Times New Roman"/>
          <w:sz w:val="19"/>
        </w:rPr>
        <w:t>The parsing layer operates directly on raw binary stream captures, providing modular decoders tailored to each standard:</w:t>
        <w:br/>
        <w:t>• MPEG-2 Transport Stream (MPEG-TS): The MPEG-TS parser processes continuous 188-byte containers specified in ISO/IEC 13818-1 [3]. Validates 0x47 sync cadence, flags Transport Error Indicator (TEI) bits, extracts 13-bit Program Identifiers (PIDs), and tracks 4-bit cyclic Continuity Counters (CC) per PID.</w:t>
        <w:br/>
        <w:t>• Generic Stream Encapsulation (GSE): Decodes variable-size protocol data units adhering to ETSI TS 102 606-1 [4]. Parses 2-bit start/end fragmentation flags, 12-bit length field (≤ 4,095 bytes payload), 16-bit EtherType (0x0800 IPv4), label addressing, and CRC-32 syndrome validation.</w:t>
        <w:br/>
        <w:t>• DVB-S2 Baseband Frames (BBFrame): Decodes native baseband frames specified in ETSI EN 302 307-1 [1]. Validates 80-bit headers via CRC-8 (G(x) = x^8 + x^7 + x^6 + x^4 + x^2 + 1), extracts MATYPE-1/2 (SIS/MIS, ACM/CCM, roll-off α), and measures Data Field Length (DFL ∈ [216, 10000] bits).</w:t>
      </w:r>
    </w:p>
    <w:p>
      <w:pPr>
        <w:spacing w:before="120" w:after="40"/>
        <w:ind w:firstLine="0"/>
        <w:jc w:val="center"/>
      </w:pPr>
      <w:r>
        <w:rPr>
          <w:rFonts w:ascii="Times New Roman" w:hAnsi="Times New Roman"/>
          <w:b/>
          <w:sz w:val="16"/>
        </w:rPr>
        <w:t>TABLE I</w:t>
        <w:br/>
      </w:r>
      <w:r>
        <w:rPr>
          <w:rFonts w:ascii="Times New Roman" w:hAnsi="Times New Roman"/>
          <w:b/>
          <w:sz w:val="16"/>
        </w:rPr>
        <w:t>SUPPORTED INPUT FORMAT CHARACTERISTICS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936"/>
        <w:gridCol w:w="720"/>
        <w:gridCol w:w="1080"/>
        <w:gridCol w:w="1080"/>
      </w:tblGrid>
      <w:tr>
        <w:tc>
          <w:tcPr>
            <w:tcW w:type="dxa" w:w="936"/>
            <w:shd w:fill="F0F4F8"/>
            <w:tcMar>
              <w:top w:w="30" w:type="dxa"/>
              <w:bottom w:w="30" w:type="dxa"/>
              <w:left w:w="30" w:type="dxa"/>
              <w:right w:w="30" w:type="dxa"/>
            </w:tcMar>
          </w:tcPr>
          <w:p>
            <w:pPr>
              <w:jc w:val="center"/>
            </w:pPr>
            <w:r>
              <w:rPr>
                <w:rFonts w:ascii="Times New Roman" w:hAnsi="Times New Roman"/>
                <w:b/>
                <w:sz w:val="15"/>
              </w:rPr>
              <w:t>Format</w:t>
            </w:r>
          </w:p>
        </w:tc>
        <w:tc>
          <w:tcPr>
            <w:tcW w:type="dxa" w:w="936"/>
            <w:shd w:fill="F0F4F8"/>
            <w:tcMar>
              <w:top w:w="30" w:type="dxa"/>
              <w:bottom w:w="30" w:type="dxa"/>
              <w:left w:w="30" w:type="dxa"/>
              <w:right w:w="30" w:type="dxa"/>
            </w:tcMar>
          </w:tcPr>
          <w:p>
            <w:pPr>
              <w:jc w:val="center"/>
            </w:pPr>
            <w:r>
              <w:rPr>
                <w:rFonts w:ascii="Times New Roman" w:hAnsi="Times New Roman"/>
                <w:b/>
                <w:sz w:val="15"/>
              </w:rPr>
              <w:t>Structure</w:t>
            </w:r>
          </w:p>
        </w:tc>
        <w:tc>
          <w:tcPr>
            <w:tcW w:type="dxa" w:w="720"/>
            <w:shd w:fill="F0F4F8"/>
            <w:tcMar>
              <w:top w:w="30" w:type="dxa"/>
              <w:bottom w:w="30" w:type="dxa"/>
              <w:left w:w="30" w:type="dxa"/>
              <w:right w:w="30" w:type="dxa"/>
            </w:tcMar>
          </w:tcPr>
          <w:p>
            <w:pPr>
              <w:jc w:val="center"/>
            </w:pPr>
            <w:r>
              <w:rPr>
                <w:rFonts w:ascii="Times New Roman" w:hAnsi="Times New Roman"/>
                <w:b/>
                <w:sz w:val="15"/>
              </w:rPr>
              <w:t>Header</w:t>
            </w:r>
          </w:p>
        </w:tc>
        <w:tc>
          <w:tcPr>
            <w:tcW w:type="dxa" w:w="1080"/>
            <w:shd w:fill="F0F4F8"/>
            <w:tcMar>
              <w:top w:w="30" w:type="dxa"/>
              <w:bottom w:w="30" w:type="dxa"/>
              <w:left w:w="30" w:type="dxa"/>
              <w:right w:w="30" w:type="dxa"/>
            </w:tcMar>
          </w:tcPr>
          <w:p>
            <w:pPr>
              <w:jc w:val="center"/>
            </w:pPr>
            <w:r>
              <w:rPr>
                <w:rFonts w:ascii="Times New Roman" w:hAnsi="Times New Roman"/>
                <w:b/>
                <w:sz w:val="15"/>
              </w:rPr>
              <w:t>Container Dim.</w:t>
            </w:r>
          </w:p>
        </w:tc>
        <w:tc>
          <w:tcPr>
            <w:tcW w:type="dxa" w:w="1080"/>
            <w:shd w:fill="F0F4F8"/>
            <w:tcMar>
              <w:top w:w="30" w:type="dxa"/>
              <w:bottom w:w="30" w:type="dxa"/>
              <w:left w:w="30" w:type="dxa"/>
              <w:right w:w="30" w:type="dxa"/>
            </w:tcMar>
          </w:tcPr>
          <w:p>
            <w:pPr>
              <w:jc w:val="center"/>
            </w:pPr>
            <w:r>
              <w:rPr>
                <w:rFonts w:ascii="Times New Roman" w:hAnsi="Times New Roman"/>
                <w:b/>
                <w:sz w:val="15"/>
              </w:rPr>
              <w:t>Checksum</w:t>
            </w:r>
          </w:p>
        </w:tc>
      </w:tr>
      <w:tr>
        <w:tc>
          <w:tcPr>
            <w:tcW w:type="dxa" w:w="936"/>
            <w:tcMar>
              <w:top w:w="25" w:type="dxa"/>
              <w:bottom w:w="25" w:type="dxa"/>
              <w:left w:w="30" w:type="dxa"/>
              <w:right w:w="30" w:type="dxa"/>
            </w:tcMar>
          </w:tcPr>
          <w:p>
            <w:pPr>
              <w:jc w:val="left"/>
            </w:pPr>
            <w:r>
              <w:rPr>
                <w:rFonts w:ascii="Times New Roman" w:hAnsi="Times New Roman"/>
                <w:sz w:val="15"/>
              </w:rPr>
              <w:t>MPEG-TS</w:t>
            </w:r>
          </w:p>
        </w:tc>
        <w:tc>
          <w:tcPr>
            <w:tcW w:type="dxa" w:w="936"/>
            <w:tcMar>
              <w:top w:w="25" w:type="dxa"/>
              <w:bottom w:w="25" w:type="dxa"/>
              <w:left w:w="30" w:type="dxa"/>
              <w:right w:w="30" w:type="dxa"/>
            </w:tcMar>
          </w:tcPr>
          <w:p>
            <w:pPr>
              <w:jc w:val="center"/>
            </w:pPr>
            <w:r>
              <w:rPr>
                <w:rFonts w:ascii="Times New Roman" w:hAnsi="Times New Roman"/>
                <w:sz w:val="15"/>
              </w:rPr>
              <w:t>Fixed Pkt</w:t>
            </w:r>
          </w:p>
        </w:tc>
        <w:tc>
          <w:tcPr>
            <w:tcW w:type="dxa" w:w="720"/>
            <w:tcMar>
              <w:top w:w="25" w:type="dxa"/>
              <w:bottom w:w="25" w:type="dxa"/>
              <w:left w:w="30" w:type="dxa"/>
              <w:right w:w="30" w:type="dxa"/>
            </w:tcMar>
          </w:tcPr>
          <w:p>
            <w:pPr>
              <w:jc w:val="center"/>
            </w:pPr>
            <w:r>
              <w:rPr>
                <w:rFonts w:ascii="Times New Roman" w:hAnsi="Times New Roman"/>
                <w:sz w:val="15"/>
              </w:rPr>
              <w:t>4 Bytes</w:t>
            </w:r>
          </w:p>
        </w:tc>
        <w:tc>
          <w:tcPr>
            <w:tcW w:type="dxa" w:w="1080"/>
            <w:tcMar>
              <w:top w:w="25" w:type="dxa"/>
              <w:bottom w:w="25" w:type="dxa"/>
              <w:left w:w="30" w:type="dxa"/>
              <w:right w:w="30" w:type="dxa"/>
            </w:tcMar>
          </w:tcPr>
          <w:p>
            <w:pPr>
              <w:jc w:val="center"/>
            </w:pPr>
            <w:r>
              <w:rPr>
                <w:rFonts w:ascii="Times New Roman" w:hAnsi="Times New Roman"/>
                <w:sz w:val="15"/>
              </w:rPr>
              <w:t>188 Bytes</w:t>
            </w:r>
          </w:p>
        </w:tc>
        <w:tc>
          <w:tcPr>
            <w:tcW w:type="dxa" w:w="1080"/>
            <w:tcMar>
              <w:top w:w="25" w:type="dxa"/>
              <w:bottom w:w="25" w:type="dxa"/>
              <w:left w:w="30" w:type="dxa"/>
              <w:right w:w="30" w:type="dxa"/>
            </w:tcMar>
          </w:tcPr>
          <w:p>
            <w:pPr>
              <w:jc w:val="center"/>
            </w:pPr>
            <w:r>
              <w:rPr>
                <w:rFonts w:ascii="Times New Roman" w:hAnsi="Times New Roman"/>
                <w:sz w:val="15"/>
              </w:rPr>
              <w:t>Cont. Ctr (4b)</w:t>
            </w:r>
          </w:p>
        </w:tc>
      </w:tr>
      <w:tr>
        <w:tc>
          <w:tcPr>
            <w:tcW w:type="dxa" w:w="936"/>
            <w:tcMar>
              <w:top w:w="25" w:type="dxa"/>
              <w:bottom w:w="25" w:type="dxa"/>
              <w:left w:w="30" w:type="dxa"/>
              <w:right w:w="30" w:type="dxa"/>
            </w:tcMar>
          </w:tcPr>
          <w:p>
            <w:pPr>
              <w:jc w:val="left"/>
            </w:pPr>
            <w:r>
              <w:rPr>
                <w:rFonts w:ascii="Times New Roman" w:hAnsi="Times New Roman"/>
                <w:sz w:val="15"/>
              </w:rPr>
              <w:t>GSE</w:t>
            </w:r>
          </w:p>
        </w:tc>
        <w:tc>
          <w:tcPr>
            <w:tcW w:type="dxa" w:w="936"/>
            <w:tcMar>
              <w:top w:w="25" w:type="dxa"/>
              <w:bottom w:w="25" w:type="dxa"/>
              <w:left w:w="30" w:type="dxa"/>
              <w:right w:w="30" w:type="dxa"/>
            </w:tcMar>
          </w:tcPr>
          <w:p>
            <w:pPr>
              <w:jc w:val="center"/>
            </w:pPr>
            <w:r>
              <w:rPr>
                <w:rFonts w:ascii="Times New Roman" w:hAnsi="Times New Roman"/>
                <w:sz w:val="15"/>
              </w:rPr>
              <w:t>Var. PDU</w:t>
            </w:r>
          </w:p>
        </w:tc>
        <w:tc>
          <w:tcPr>
            <w:tcW w:type="dxa" w:w="720"/>
            <w:tcMar>
              <w:top w:w="25" w:type="dxa"/>
              <w:bottom w:w="25" w:type="dxa"/>
              <w:left w:w="30" w:type="dxa"/>
              <w:right w:w="30" w:type="dxa"/>
            </w:tcMar>
          </w:tcPr>
          <w:p>
            <w:pPr>
              <w:jc w:val="center"/>
            </w:pPr>
            <w:r>
              <w:rPr>
                <w:rFonts w:ascii="Times New Roman" w:hAnsi="Times New Roman"/>
                <w:sz w:val="15"/>
              </w:rPr>
              <w:t>2–8 Bytes</w:t>
            </w:r>
          </w:p>
        </w:tc>
        <w:tc>
          <w:tcPr>
            <w:tcW w:type="dxa" w:w="1080"/>
            <w:tcMar>
              <w:top w:w="25" w:type="dxa"/>
              <w:bottom w:w="25" w:type="dxa"/>
              <w:left w:w="30" w:type="dxa"/>
              <w:right w:w="30" w:type="dxa"/>
            </w:tcMar>
          </w:tcPr>
          <w:p>
            <w:pPr>
              <w:jc w:val="center"/>
            </w:pPr>
            <w:r>
              <w:rPr>
                <w:rFonts w:ascii="Times New Roman" w:hAnsi="Times New Roman"/>
                <w:sz w:val="15"/>
              </w:rPr>
              <w:t>45–1,444 B</w:t>
            </w:r>
          </w:p>
        </w:tc>
        <w:tc>
          <w:tcPr>
            <w:tcW w:type="dxa" w:w="1080"/>
            <w:tcMar>
              <w:top w:w="25" w:type="dxa"/>
              <w:bottom w:w="25" w:type="dxa"/>
              <w:left w:w="30" w:type="dxa"/>
              <w:right w:w="30" w:type="dxa"/>
            </w:tcMar>
          </w:tcPr>
          <w:p>
            <w:pPr>
              <w:jc w:val="center"/>
            </w:pPr>
            <w:r>
              <w:rPr>
                <w:rFonts w:ascii="Times New Roman" w:hAnsi="Times New Roman"/>
                <w:sz w:val="15"/>
              </w:rPr>
              <w:t>CRC-32 (32b)</w:t>
            </w:r>
          </w:p>
        </w:tc>
      </w:tr>
      <w:tr>
        <w:tc>
          <w:tcPr>
            <w:tcW w:type="dxa" w:w="936"/>
            <w:tcMar>
              <w:top w:w="25" w:type="dxa"/>
              <w:bottom w:w="25" w:type="dxa"/>
              <w:left w:w="30" w:type="dxa"/>
              <w:right w:w="30" w:type="dxa"/>
            </w:tcMar>
          </w:tcPr>
          <w:p>
            <w:pPr>
              <w:jc w:val="left"/>
            </w:pPr>
            <w:r>
              <w:rPr>
                <w:rFonts w:ascii="Times New Roman" w:hAnsi="Times New Roman"/>
                <w:sz w:val="15"/>
              </w:rPr>
              <w:t>BBFrame</w:t>
            </w:r>
          </w:p>
        </w:tc>
        <w:tc>
          <w:tcPr>
            <w:tcW w:type="dxa" w:w="936"/>
            <w:tcMar>
              <w:top w:w="25" w:type="dxa"/>
              <w:bottom w:w="25" w:type="dxa"/>
              <w:left w:w="30" w:type="dxa"/>
              <w:right w:w="30" w:type="dxa"/>
            </w:tcMar>
          </w:tcPr>
          <w:p>
            <w:pPr>
              <w:jc w:val="center"/>
            </w:pPr>
            <w:r>
              <w:rPr>
                <w:rFonts w:ascii="Times New Roman" w:hAnsi="Times New Roman"/>
                <w:sz w:val="15"/>
              </w:rPr>
              <w:t>Fixed Frm</w:t>
            </w:r>
          </w:p>
        </w:tc>
        <w:tc>
          <w:tcPr>
            <w:tcW w:type="dxa" w:w="720"/>
            <w:tcMar>
              <w:top w:w="25" w:type="dxa"/>
              <w:bottom w:w="25" w:type="dxa"/>
              <w:left w:w="30" w:type="dxa"/>
              <w:right w:w="30" w:type="dxa"/>
            </w:tcMar>
          </w:tcPr>
          <w:p>
            <w:pPr>
              <w:jc w:val="center"/>
            </w:pPr>
            <w:r>
              <w:rPr>
                <w:rFonts w:ascii="Times New Roman" w:hAnsi="Times New Roman"/>
                <w:sz w:val="15"/>
              </w:rPr>
              <w:t>10 Bytes</w:t>
            </w:r>
          </w:p>
        </w:tc>
        <w:tc>
          <w:tcPr>
            <w:tcW w:type="dxa" w:w="1080"/>
            <w:tcMar>
              <w:top w:w="25" w:type="dxa"/>
              <w:bottom w:w="25" w:type="dxa"/>
              <w:left w:w="30" w:type="dxa"/>
              <w:right w:w="30" w:type="dxa"/>
            </w:tcMar>
          </w:tcPr>
          <w:p>
            <w:pPr>
              <w:jc w:val="center"/>
            </w:pPr>
            <w:r>
              <w:rPr>
                <w:rFonts w:ascii="Times New Roman" w:hAnsi="Times New Roman"/>
                <w:sz w:val="15"/>
              </w:rPr>
              <w:t>216–10k b</w:t>
            </w:r>
          </w:p>
        </w:tc>
        <w:tc>
          <w:tcPr>
            <w:tcW w:type="dxa" w:w="1080"/>
            <w:tcMar>
              <w:top w:w="25" w:type="dxa"/>
              <w:bottom w:w="25" w:type="dxa"/>
              <w:left w:w="30" w:type="dxa"/>
              <w:right w:w="30" w:type="dxa"/>
            </w:tcMar>
          </w:tcPr>
          <w:p>
            <w:pPr>
              <w:jc w:val="center"/>
            </w:pPr>
            <w:r>
              <w:rPr>
                <w:rFonts w:ascii="Times New Roman" w:hAnsi="Times New Roman"/>
                <w:sz w:val="15"/>
              </w:rPr>
              <w:t>CRC-8 (8b)</w:t>
            </w:r>
          </w:p>
        </w:tc>
      </w:tr>
    </w:tbl>
    <w:p>
      <w:pPr>
        <w:spacing w:before="140" w:after="40"/>
        <w:ind w:firstLine="0"/>
        <w:jc w:val="center"/>
      </w:pPr>
      <w:r>
        <w:rPr>
          <w:rFonts w:ascii="Times New Roman" w:hAnsi="Times New Roman"/>
          <w:b/>
          <w:sz w:val="19"/>
        </w:rPr>
        <w:t>V. FEATURE ENGINEERING AND ANALYTICAL PIPELINE</w:t>
      </w:r>
    </w:p>
    <w:p>
      <w:pPr>
        <w:spacing w:after="50"/>
        <w:ind w:firstLine="230"/>
        <w:jc w:val="both"/>
      </w:pPr>
      <w:r>
        <w:rPr>
          <w:rFonts w:ascii="Times New Roman" w:hAnsi="Times New Roman"/>
          <w:sz w:val="19"/>
        </w:rPr>
        <w:t>Telemetry is bifurcated into physical invariants (CommonMetrics) and native format-specific metrics (TSMetrics, GSEMetrics, BBFrameMetrics):</w:t>
        <w:br/>
        <w:t>• Feature F1 (Stream Health Analysis): Implements transparent threshold-driven deductive scoring from a 100.0% baseline based on ETSI TR 101 290 P1 criteria:</w:t>
        <w:br/>
        <w:t>H(W_i) = max(0.0, 100.0 + ∑ ΔH). Categorized into HEALTHY (H ≥ 99.0%), WARNING (80.0% ≤ H &lt; 99.0%), and CRITICAL (H &lt; 80.0%).</w:t>
        <w:br/>
        <w:t>• Feature F2 (AI Anomaly Detection): Instantiates an ensemble of T = 100 isolation trees (n_estimators=100, contamination=0.05). Maps raw decision scores d(x) through a centered logistic sigmoid: s(x) = 1 / (1 + e^(8.0·d(x))). Flagged anomalous if s(x) ≥ 0.5000. Real broadcast data is evaluated via synthetic perturbation rather than ungrounded ROC-AUC metrics.</w:t>
        <w:br/>
        <w:t>• Feature F3 (Pattern and Entropy Analysis): Evaluates individual PID shares and Shannon multiplex entropy: H_PID = - ∑ p_k log_2 p_k.</w:t>
        <w:br/>
        <w:t>• Feature F4 (Spatial Activity Timeline): Charts rolling health, anomaly scores, and payload density indexed strictly by physical byte offsets [B_start, B_end] and container indices, eliminating fabricated clock time axes.</w:t>
        <w:br/>
        <w:t>• Feature F5 (Diagnostic Anomaly Explanation): Attributes flagged anomalies to specific metric drivers using bounded Z-scores: z_bounded = clamp((x_(i,j) - μ_j) / max(σ_j, ε_j), -20.0, +20.0).</w:t>
        <w:br/>
        <w:t>• Feature F6 (Semantic Comparison Engine): Protects cross-format comparisons via an automated semantic barrier. Audits 2 comparable physical invariants (total_payload_bytes, integrity_ratio) while shielding 9 format-incompatible framing metrics.</w:t>
        <w:br/>
        <w:t>• Feature F7 (Automatic Reporting): Synthesizes diagnostics into JSON, Markdown, HTML, and CSV organized under a tripartite epistemology (OBSERVED_FACT, STATISTICAL_FINDING, ENGINEERING_INTERPRETATION).</w:t>
      </w:r>
    </w:p>
    <w:p>
      <w:pPr>
        <w:spacing w:before="140" w:after="40"/>
        <w:ind w:firstLine="0"/>
        <w:jc w:val="center"/>
      </w:pPr>
      <w:r>
        <w:rPr>
          <w:rFonts w:ascii="Times New Roman" w:hAnsi="Times New Roman"/>
          <w:b/>
          <w:sz w:val="19"/>
        </w:rPr>
        <w:t>VI. EXPERIMENTAL RESULTS AND DISCUSSION</w:t>
      </w:r>
    </w:p>
    <w:p>
      <w:pPr>
        <w:spacing w:after="50"/>
        <w:ind w:firstLine="230"/>
        <w:jc w:val="both"/>
      </w:pPr>
      <w:r>
        <w:rPr>
          <w:rFonts w:ascii="Times New Roman" w:hAnsi="Times New Roman"/>
          <w:sz w:val="19"/>
        </w:rPr>
        <w:t>The system was evaluated against four authoritative satellite captures in 01_RAW_DATA/ (Tables II and III).</w:t>
      </w:r>
    </w:p>
    <w:p>
      <w:pPr>
        <w:spacing w:before="120" w:after="40"/>
        <w:ind w:firstLine="0"/>
        <w:jc w:val="center"/>
      </w:pPr>
      <w:r>
        <w:rPr>
          <w:rFonts w:ascii="Times New Roman" w:hAnsi="Times New Roman"/>
          <w:b/>
          <w:sz w:val="16"/>
        </w:rPr>
        <w:t>TABLE II</w:t>
        <w:br/>
      </w:r>
      <w:r>
        <w:rPr>
          <w:rFonts w:ascii="Times New Roman" w:hAnsi="Times New Roman"/>
          <w:b/>
          <w:sz w:val="16"/>
        </w:rPr>
        <w:t>MPEG-TS HEALTH AND PRIORITY-1 INTEGRITY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96"/>
        <w:gridCol w:w="648"/>
        <w:gridCol w:w="648"/>
        <w:gridCol w:w="648"/>
        <w:gridCol w:w="648"/>
        <w:gridCol w:w="1008"/>
        <w:gridCol w:w="792"/>
      </w:tblGrid>
      <w:tr>
        <w:tc>
          <w:tcPr>
            <w:tcW w:type="dxa" w:w="1296"/>
            <w:shd w:fill="F0F4F8"/>
            <w:tcMar>
              <w:top w:w="30" w:type="dxa"/>
              <w:bottom w:w="30" w:type="dxa"/>
              <w:left w:w="30" w:type="dxa"/>
              <w:right w:w="30" w:type="dxa"/>
            </w:tcMar>
          </w:tcPr>
          <w:p>
            <w:pPr>
              <w:jc w:val="center"/>
            </w:pPr>
            <w:r>
              <w:rPr>
                <w:rFonts w:ascii="Times New Roman" w:hAnsi="Times New Roman"/>
                <w:b/>
                <w:sz w:val="15"/>
              </w:rPr>
              <w:t>Stream</w:t>
            </w:r>
          </w:p>
        </w:tc>
        <w:tc>
          <w:tcPr>
            <w:tcW w:type="dxa" w:w="648"/>
            <w:shd w:fill="F0F4F8"/>
            <w:tcMar>
              <w:top w:w="30" w:type="dxa"/>
              <w:bottom w:w="30" w:type="dxa"/>
              <w:left w:w="30" w:type="dxa"/>
              <w:right w:w="30" w:type="dxa"/>
            </w:tcMar>
          </w:tcPr>
          <w:p>
            <w:pPr>
              <w:jc w:val="center"/>
            </w:pPr>
            <w:r>
              <w:rPr>
                <w:rFonts w:ascii="Times New Roman" w:hAnsi="Times New Roman"/>
                <w:b/>
                <w:sz w:val="15"/>
              </w:rPr>
              <w:t>Pkts</w:t>
            </w:r>
          </w:p>
        </w:tc>
        <w:tc>
          <w:tcPr>
            <w:tcW w:type="dxa" w:w="648"/>
            <w:shd w:fill="F0F4F8"/>
            <w:tcMar>
              <w:top w:w="30" w:type="dxa"/>
              <w:bottom w:w="30" w:type="dxa"/>
              <w:left w:w="30" w:type="dxa"/>
              <w:right w:w="30" w:type="dxa"/>
            </w:tcMar>
          </w:tcPr>
          <w:p>
            <w:pPr>
              <w:jc w:val="center"/>
            </w:pPr>
            <w:r>
              <w:rPr>
                <w:rFonts w:ascii="Times New Roman" w:hAnsi="Times New Roman"/>
                <w:b/>
                <w:sz w:val="15"/>
              </w:rPr>
              <w:t>Sync</w:t>
            </w:r>
          </w:p>
        </w:tc>
        <w:tc>
          <w:tcPr>
            <w:tcW w:type="dxa" w:w="648"/>
            <w:shd w:fill="F0F4F8"/>
            <w:tcMar>
              <w:top w:w="30" w:type="dxa"/>
              <w:bottom w:w="30" w:type="dxa"/>
              <w:left w:w="30" w:type="dxa"/>
              <w:right w:w="30" w:type="dxa"/>
            </w:tcMar>
          </w:tcPr>
          <w:p>
            <w:pPr>
              <w:jc w:val="center"/>
            </w:pPr>
            <w:r>
              <w:rPr>
                <w:rFonts w:ascii="Times New Roman" w:hAnsi="Times New Roman"/>
                <w:b/>
                <w:sz w:val="15"/>
              </w:rPr>
              <w:t>TEI</w:t>
            </w:r>
          </w:p>
        </w:tc>
        <w:tc>
          <w:tcPr>
            <w:tcW w:type="dxa" w:w="648"/>
            <w:shd w:fill="F0F4F8"/>
            <w:tcMar>
              <w:top w:w="30" w:type="dxa"/>
              <w:bottom w:w="30" w:type="dxa"/>
              <w:left w:w="30" w:type="dxa"/>
              <w:right w:w="30" w:type="dxa"/>
            </w:tcMar>
          </w:tcPr>
          <w:p>
            <w:pPr>
              <w:jc w:val="center"/>
            </w:pPr>
            <w:r>
              <w:rPr>
                <w:rFonts w:ascii="Times New Roman" w:hAnsi="Times New Roman"/>
                <w:b/>
                <w:sz w:val="15"/>
              </w:rPr>
              <w:t>CC</w:t>
            </w:r>
          </w:p>
        </w:tc>
        <w:tc>
          <w:tcPr>
            <w:tcW w:type="dxa" w:w="1008"/>
            <w:shd w:fill="F0F4F8"/>
            <w:tcMar>
              <w:top w:w="30" w:type="dxa"/>
              <w:bottom w:w="30" w:type="dxa"/>
              <w:left w:w="30" w:type="dxa"/>
              <w:right w:w="30" w:type="dxa"/>
            </w:tcMar>
          </w:tcPr>
          <w:p>
            <w:pPr>
              <w:jc w:val="center"/>
            </w:pPr>
            <w:r>
              <w:rPr>
                <w:rFonts w:ascii="Times New Roman" w:hAnsi="Times New Roman"/>
                <w:b/>
                <w:sz w:val="15"/>
              </w:rPr>
              <w:t>Net Payload</w:t>
            </w:r>
          </w:p>
        </w:tc>
        <w:tc>
          <w:tcPr>
            <w:tcW w:type="dxa" w:w="792"/>
            <w:shd w:fill="F0F4F8"/>
            <w:tcMar>
              <w:top w:w="30" w:type="dxa"/>
              <w:bottom w:w="30" w:type="dxa"/>
              <w:left w:w="30" w:type="dxa"/>
              <w:right w:w="30" w:type="dxa"/>
            </w:tcMar>
          </w:tcPr>
          <w:p>
            <w:pPr>
              <w:jc w:val="center"/>
            </w:pPr>
            <w:r>
              <w:rPr>
                <w:rFonts w:ascii="Times New Roman" w:hAnsi="Times New Roman"/>
                <w:b/>
                <w:sz w:val="15"/>
              </w:rPr>
              <w:t>Health</w:t>
            </w:r>
          </w:p>
        </w:tc>
      </w:tr>
      <w:tr>
        <w:tc>
          <w:tcPr>
            <w:tcW w:type="dxa" w:w="1296"/>
            <w:tcMar>
              <w:top w:w="25" w:type="dxa"/>
              <w:bottom w:w="25" w:type="dxa"/>
              <w:left w:w="30" w:type="dxa"/>
              <w:right w:w="30" w:type="dxa"/>
            </w:tcMar>
          </w:tcPr>
          <w:p>
            <w:pPr>
              <w:jc w:val="left"/>
            </w:pPr>
            <w:r>
              <w:rPr>
                <w:rFonts w:ascii="Times New Roman" w:hAnsi="Times New Roman"/>
                <w:sz w:val="15"/>
              </w:rPr>
              <w:t>sample.ts</w:t>
            </w:r>
          </w:p>
        </w:tc>
        <w:tc>
          <w:tcPr>
            <w:tcW w:type="dxa" w:w="648"/>
            <w:tcMar>
              <w:top w:w="25" w:type="dxa"/>
              <w:bottom w:w="25" w:type="dxa"/>
              <w:left w:w="30" w:type="dxa"/>
              <w:right w:w="30" w:type="dxa"/>
            </w:tcMar>
          </w:tcPr>
          <w:p>
            <w:pPr>
              <w:jc w:val="center"/>
            </w:pPr>
            <w:r>
              <w:rPr>
                <w:rFonts w:ascii="Times New Roman" w:hAnsi="Times New Roman"/>
                <w:sz w:val="15"/>
              </w:rPr>
              <w:t>18,176</w:t>
            </w:r>
          </w:p>
        </w:tc>
        <w:tc>
          <w:tcPr>
            <w:tcW w:type="dxa" w:w="648"/>
            <w:tcMar>
              <w:top w:w="25" w:type="dxa"/>
              <w:bottom w:w="25" w:type="dxa"/>
              <w:left w:w="30" w:type="dxa"/>
              <w:right w:w="30" w:type="dxa"/>
            </w:tcMar>
          </w:tcPr>
          <w:p>
            <w:pPr>
              <w:jc w:val="center"/>
            </w:pPr>
            <w:r>
              <w:rPr>
                <w:rFonts w:ascii="Times New Roman" w:hAnsi="Times New Roman"/>
                <w:sz w:val="15"/>
              </w:rPr>
              <w:t>100%</w:t>
            </w:r>
          </w:p>
        </w:tc>
        <w:tc>
          <w:tcPr>
            <w:tcW w:type="dxa" w:w="648"/>
            <w:tcMar>
              <w:top w:w="25" w:type="dxa"/>
              <w:bottom w:w="25" w:type="dxa"/>
              <w:left w:w="30" w:type="dxa"/>
              <w:right w:w="30" w:type="dxa"/>
            </w:tcMar>
          </w:tcPr>
          <w:p>
            <w:pPr>
              <w:jc w:val="center"/>
            </w:pPr>
            <w:r>
              <w:rPr>
                <w:rFonts w:ascii="Times New Roman" w:hAnsi="Times New Roman"/>
                <w:sz w:val="15"/>
              </w:rPr>
              <w:t>0 (0%)</w:t>
            </w:r>
          </w:p>
        </w:tc>
        <w:tc>
          <w:tcPr>
            <w:tcW w:type="dxa" w:w="648"/>
            <w:tcMar>
              <w:top w:w="25" w:type="dxa"/>
              <w:bottom w:w="25" w:type="dxa"/>
              <w:left w:w="30" w:type="dxa"/>
              <w:right w:w="30" w:type="dxa"/>
            </w:tcMar>
          </w:tcPr>
          <w:p>
            <w:pPr>
              <w:jc w:val="center"/>
            </w:pPr>
            <w:r>
              <w:rPr>
                <w:rFonts w:ascii="Times New Roman" w:hAnsi="Times New Roman"/>
                <w:sz w:val="15"/>
              </w:rPr>
              <w:t>0 (0%)</w:t>
            </w:r>
          </w:p>
        </w:tc>
        <w:tc>
          <w:tcPr>
            <w:tcW w:type="dxa" w:w="1008"/>
            <w:tcMar>
              <w:top w:w="25" w:type="dxa"/>
              <w:bottom w:w="25" w:type="dxa"/>
              <w:left w:w="30" w:type="dxa"/>
              <w:right w:w="30" w:type="dxa"/>
            </w:tcMar>
          </w:tcPr>
          <w:p>
            <w:pPr>
              <w:jc w:val="center"/>
            </w:pPr>
            <w:r>
              <w:rPr>
                <w:rFonts w:ascii="Times New Roman" w:hAnsi="Times New Roman"/>
                <w:sz w:val="15"/>
              </w:rPr>
              <w:t>3,267,305 B</w:t>
            </w:r>
          </w:p>
        </w:tc>
        <w:tc>
          <w:tcPr>
            <w:tcW w:type="dxa" w:w="792"/>
            <w:tcMar>
              <w:top w:w="25" w:type="dxa"/>
              <w:bottom w:w="25" w:type="dxa"/>
              <w:left w:w="30" w:type="dxa"/>
              <w:right w:w="30" w:type="dxa"/>
            </w:tcMar>
          </w:tcPr>
          <w:p>
            <w:pPr>
              <w:jc w:val="center"/>
            </w:pPr>
            <w:r>
              <w:rPr>
                <w:rFonts w:ascii="Times New Roman" w:hAnsi="Times New Roman"/>
                <w:sz w:val="15"/>
              </w:rPr>
              <w:t>100.0%</w:t>
            </w:r>
          </w:p>
        </w:tc>
      </w:tr>
      <w:tr>
        <w:tc>
          <w:tcPr>
            <w:tcW w:type="dxa" w:w="1296"/>
            <w:tcMar>
              <w:top w:w="25" w:type="dxa"/>
              <w:bottom w:w="25" w:type="dxa"/>
              <w:left w:w="30" w:type="dxa"/>
              <w:right w:w="30" w:type="dxa"/>
            </w:tcMar>
          </w:tcPr>
          <w:p>
            <w:pPr>
              <w:jc w:val="left"/>
            </w:pPr>
            <w:r>
              <w:rPr>
                <w:rFonts w:ascii="Times New Roman" w:hAnsi="Times New Roman"/>
                <w:sz w:val="15"/>
              </w:rPr>
              <w:t>corrupted</w:t>
            </w:r>
          </w:p>
        </w:tc>
        <w:tc>
          <w:tcPr>
            <w:tcW w:type="dxa" w:w="648"/>
            <w:tcMar>
              <w:top w:w="25" w:type="dxa"/>
              <w:bottom w:w="25" w:type="dxa"/>
              <w:left w:w="30" w:type="dxa"/>
              <w:right w:w="30" w:type="dxa"/>
            </w:tcMar>
          </w:tcPr>
          <w:p>
            <w:pPr>
              <w:jc w:val="center"/>
            </w:pPr>
            <w:r>
              <w:rPr>
                <w:rFonts w:ascii="Times New Roman" w:hAnsi="Times New Roman"/>
                <w:sz w:val="15"/>
              </w:rPr>
              <w:t>18,168</w:t>
            </w:r>
          </w:p>
        </w:tc>
        <w:tc>
          <w:tcPr>
            <w:tcW w:type="dxa" w:w="648"/>
            <w:tcMar>
              <w:top w:w="25" w:type="dxa"/>
              <w:bottom w:w="25" w:type="dxa"/>
              <w:left w:w="30" w:type="dxa"/>
              <w:right w:w="30" w:type="dxa"/>
            </w:tcMar>
          </w:tcPr>
          <w:p>
            <w:pPr>
              <w:jc w:val="center"/>
            </w:pPr>
            <w:r>
              <w:rPr>
                <w:rFonts w:ascii="Times New Roman" w:hAnsi="Times New Roman"/>
                <w:sz w:val="15"/>
              </w:rPr>
              <w:t>100%</w:t>
            </w:r>
          </w:p>
        </w:tc>
        <w:tc>
          <w:tcPr>
            <w:tcW w:type="dxa" w:w="648"/>
            <w:tcMar>
              <w:top w:w="25" w:type="dxa"/>
              <w:bottom w:w="25" w:type="dxa"/>
              <w:left w:w="30" w:type="dxa"/>
              <w:right w:w="30" w:type="dxa"/>
            </w:tcMar>
          </w:tcPr>
          <w:p>
            <w:pPr>
              <w:jc w:val="center"/>
            </w:pPr>
            <w:r>
              <w:rPr>
                <w:rFonts w:ascii="Times New Roman" w:hAnsi="Times New Roman"/>
                <w:sz w:val="15"/>
              </w:rPr>
              <w:t>4 (0.02%)</w:t>
            </w:r>
          </w:p>
        </w:tc>
        <w:tc>
          <w:tcPr>
            <w:tcW w:type="dxa" w:w="648"/>
            <w:tcMar>
              <w:top w:w="25" w:type="dxa"/>
              <w:bottom w:w="25" w:type="dxa"/>
              <w:left w:w="30" w:type="dxa"/>
              <w:right w:w="30" w:type="dxa"/>
            </w:tcMar>
          </w:tcPr>
          <w:p>
            <w:pPr>
              <w:jc w:val="center"/>
            </w:pPr>
            <w:r>
              <w:rPr>
                <w:rFonts w:ascii="Times New Roman" w:hAnsi="Times New Roman"/>
                <w:sz w:val="15"/>
              </w:rPr>
              <w:t>0 (0%)</w:t>
            </w:r>
          </w:p>
        </w:tc>
        <w:tc>
          <w:tcPr>
            <w:tcW w:type="dxa" w:w="1008"/>
            <w:tcMar>
              <w:top w:w="25" w:type="dxa"/>
              <w:bottom w:w="25" w:type="dxa"/>
              <w:left w:w="30" w:type="dxa"/>
              <w:right w:w="30" w:type="dxa"/>
            </w:tcMar>
          </w:tcPr>
          <w:p>
            <w:pPr>
              <w:jc w:val="center"/>
            </w:pPr>
            <w:r>
              <w:rPr>
                <w:rFonts w:ascii="Times New Roman" w:hAnsi="Times New Roman"/>
                <w:sz w:val="15"/>
              </w:rPr>
              <w:t>3,265,277 B</w:t>
            </w:r>
          </w:p>
        </w:tc>
        <w:tc>
          <w:tcPr>
            <w:tcW w:type="dxa" w:w="792"/>
            <w:tcMar>
              <w:top w:w="25" w:type="dxa"/>
              <w:bottom w:w="25" w:type="dxa"/>
              <w:left w:w="30" w:type="dxa"/>
              <w:right w:w="30" w:type="dxa"/>
            </w:tcMar>
          </w:tcPr>
          <w:p>
            <w:pPr>
              <w:jc w:val="center"/>
            </w:pPr>
            <w:r>
              <w:rPr>
                <w:rFonts w:ascii="Times New Roman" w:hAnsi="Times New Roman"/>
                <w:sz w:val="15"/>
              </w:rPr>
              <w:t>99.67%</w:t>
            </w:r>
          </w:p>
        </w:tc>
      </w:tr>
    </w:tbl>
    <w:p>
      <w:pPr>
        <w:spacing w:after="50"/>
        <w:ind w:firstLine="230"/>
        <w:jc w:val="both"/>
      </w:pPr>
      <w:r>
        <w:rPr>
          <w:rFonts w:ascii="Times New Roman" w:hAnsi="Times New Roman"/>
          <w:sz w:val="19"/>
        </w:rPr>
        <w:t>• MPEG-TS Health Verification: Clean sample.ts achieved 100.0% sync integrity and 100.0% health across 18,176 packets (3,267,305 B payload). The corrupted stream dropped 8 unaligned packets, yielding 18,168 packets with 4 TEI errors in Window 0, achieving 99.67% average health (HEALTHY).</w:t>
        <w:br/>
        <w:t>• GSE Protocol Results: Evaluated 14 PDUs (9,324 B, 8,764 B payload), comprising 6 unfragmented (42.9%) and 8 fragmented PDUs (57.1%). Passed 100% CRC-32 checksums with 100.0% health.</w:t>
        <w:br/>
        <w:t>• BBFrame Transmission: Evaluated 4,309 frames (2,349,376 B, 1,958,826 B payload). Verified 100.0% CRC-8 checks, 100% ACM, and modal DFL of 2,992 bits (85.82% share).</w:t>
        <w:br/>
        <w:t>• Isolation Forest Findings: Consistently flagged container volume truncation at stream termination boundaries (Window 90 in TS, Window 4 in GSE, Window 86 in BBFrame) and localized multiplex burst concentrations.</w:t>
        <w:br/>
        <w:t>• Cross-Format Comparison Audit: Comparing TS against BBFrame revealed a -40.05% payload delta (3,267,305 B vs 1,958,826 B, SUBSTANTIAL) and identical 1.0000 integrity ratio (NEGLIGIBLE), with 9 framing fields shielded.</w:t>
      </w:r>
    </w:p>
    <w:p>
      <w:pPr>
        <w:spacing w:before="120" w:after="40"/>
        <w:ind w:firstLine="0"/>
        <w:jc w:val="center"/>
      </w:pPr>
      <w:r>
        <w:rPr>
          <w:rFonts w:ascii="Times New Roman" w:hAnsi="Times New Roman"/>
          <w:b/>
          <w:sz w:val="16"/>
        </w:rPr>
        <w:t>TABLE III</w:t>
        <w:br/>
      </w:r>
      <w:r>
        <w:rPr>
          <w:rFonts w:ascii="Times New Roman" w:hAnsi="Times New Roman"/>
          <w:b/>
          <w:sz w:val="16"/>
        </w:rPr>
        <w:t>ISOLATION FOREST ANOMALY RESULTS ACROSS FORMATS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792"/>
        <w:gridCol w:w="576"/>
        <w:gridCol w:w="576"/>
        <w:gridCol w:w="1872"/>
      </w:tblGrid>
      <w:tr>
        <w:tc>
          <w:tcPr>
            <w:tcW w:type="dxa" w:w="936"/>
            <w:shd w:fill="F0F4F8"/>
            <w:tcMar>
              <w:top w:w="30" w:type="dxa"/>
              <w:bottom w:w="30" w:type="dxa"/>
              <w:left w:w="30" w:type="dxa"/>
              <w:right w:w="30" w:type="dxa"/>
            </w:tcMar>
          </w:tcPr>
          <w:p>
            <w:pPr>
              <w:jc w:val="center"/>
            </w:pPr>
            <w:r>
              <w:rPr>
                <w:rFonts w:ascii="Times New Roman" w:hAnsi="Times New Roman"/>
                <w:b/>
                <w:sz w:val="15"/>
              </w:rPr>
              <w:t>Format</w:t>
            </w:r>
          </w:p>
        </w:tc>
        <w:tc>
          <w:tcPr>
            <w:tcW w:type="dxa" w:w="792"/>
            <w:shd w:fill="F0F4F8"/>
            <w:tcMar>
              <w:top w:w="30" w:type="dxa"/>
              <w:bottom w:w="30" w:type="dxa"/>
              <w:left w:w="30" w:type="dxa"/>
              <w:right w:w="30" w:type="dxa"/>
            </w:tcMar>
          </w:tcPr>
          <w:p>
            <w:pPr>
              <w:jc w:val="center"/>
            </w:pPr>
            <w:r>
              <w:rPr>
                <w:rFonts w:ascii="Times New Roman" w:hAnsi="Times New Roman"/>
                <w:b/>
                <w:sz w:val="15"/>
              </w:rPr>
              <w:t>Window</w:t>
            </w:r>
          </w:p>
        </w:tc>
        <w:tc>
          <w:tcPr>
            <w:tcW w:type="dxa" w:w="576"/>
            <w:shd w:fill="F0F4F8"/>
            <w:tcMar>
              <w:top w:w="30" w:type="dxa"/>
              <w:bottom w:w="30" w:type="dxa"/>
              <w:left w:w="30" w:type="dxa"/>
              <w:right w:w="30" w:type="dxa"/>
            </w:tcMar>
          </w:tcPr>
          <w:p>
            <w:pPr>
              <w:jc w:val="center"/>
            </w:pPr>
            <w:r>
              <w:rPr>
                <w:rFonts w:ascii="Times New Roman" w:hAnsi="Times New Roman"/>
                <w:b/>
                <w:sz w:val="15"/>
              </w:rPr>
              <w:t>Total</w:t>
            </w:r>
          </w:p>
        </w:tc>
        <w:tc>
          <w:tcPr>
            <w:tcW w:type="dxa" w:w="576"/>
            <w:shd w:fill="F0F4F8"/>
            <w:tcMar>
              <w:top w:w="30" w:type="dxa"/>
              <w:bottom w:w="30" w:type="dxa"/>
              <w:left w:w="30" w:type="dxa"/>
              <w:right w:w="30" w:type="dxa"/>
            </w:tcMar>
          </w:tcPr>
          <w:p>
            <w:pPr>
              <w:jc w:val="center"/>
            </w:pPr>
            <w:r>
              <w:rPr>
                <w:rFonts w:ascii="Times New Roman" w:hAnsi="Times New Roman"/>
                <w:b/>
                <w:sz w:val="15"/>
              </w:rPr>
              <w:t>Anom.</w:t>
            </w:r>
          </w:p>
        </w:tc>
        <w:tc>
          <w:tcPr>
            <w:tcW w:type="dxa" w:w="1872"/>
            <w:shd w:fill="F0F4F8"/>
            <w:tcMar>
              <w:top w:w="30" w:type="dxa"/>
              <w:bottom w:w="30" w:type="dxa"/>
              <w:left w:w="30" w:type="dxa"/>
              <w:right w:w="30" w:type="dxa"/>
            </w:tcMar>
          </w:tcPr>
          <w:p>
            <w:pPr>
              <w:jc w:val="center"/>
            </w:pPr>
            <w:r>
              <w:rPr>
                <w:rFonts w:ascii="Times New Roman" w:hAnsi="Times New Roman"/>
                <w:b/>
                <w:sz w:val="15"/>
              </w:rPr>
              <w:t>Peak &amp; Indices</w:t>
            </w:r>
          </w:p>
        </w:tc>
      </w:tr>
      <w:tr>
        <w:tc>
          <w:tcPr>
            <w:tcW w:type="dxa" w:w="936"/>
            <w:tcMar>
              <w:top w:w="25" w:type="dxa"/>
              <w:bottom w:w="25" w:type="dxa"/>
              <w:left w:w="30" w:type="dxa"/>
              <w:right w:w="30" w:type="dxa"/>
            </w:tcMar>
          </w:tcPr>
          <w:p>
            <w:pPr>
              <w:jc w:val="left"/>
            </w:pPr>
            <w:r>
              <w:rPr>
                <w:rFonts w:ascii="Times New Roman" w:hAnsi="Times New Roman"/>
                <w:sz w:val="15"/>
              </w:rPr>
              <w:t>MPEG-TS</w:t>
            </w:r>
          </w:p>
        </w:tc>
        <w:tc>
          <w:tcPr>
            <w:tcW w:type="dxa" w:w="792"/>
            <w:tcMar>
              <w:top w:w="25" w:type="dxa"/>
              <w:bottom w:w="25" w:type="dxa"/>
              <w:left w:w="30" w:type="dxa"/>
              <w:right w:w="30" w:type="dxa"/>
            </w:tcMar>
          </w:tcPr>
          <w:p>
            <w:pPr>
              <w:jc w:val="center"/>
            </w:pPr>
            <w:r>
              <w:rPr>
                <w:rFonts w:ascii="Times New Roman" w:hAnsi="Times New Roman"/>
                <w:sz w:val="15"/>
              </w:rPr>
              <w:t>200 Pkts</w:t>
            </w:r>
          </w:p>
        </w:tc>
        <w:tc>
          <w:tcPr>
            <w:tcW w:type="dxa" w:w="576"/>
            <w:tcMar>
              <w:top w:w="25" w:type="dxa"/>
              <w:bottom w:w="25" w:type="dxa"/>
              <w:left w:w="30" w:type="dxa"/>
              <w:right w:w="30" w:type="dxa"/>
            </w:tcMar>
          </w:tcPr>
          <w:p>
            <w:pPr>
              <w:jc w:val="center"/>
            </w:pPr>
            <w:r>
              <w:rPr>
                <w:rFonts w:ascii="Times New Roman" w:hAnsi="Times New Roman"/>
                <w:sz w:val="15"/>
              </w:rPr>
              <w:t>91</w:t>
            </w:r>
          </w:p>
        </w:tc>
        <w:tc>
          <w:tcPr>
            <w:tcW w:type="dxa" w:w="576"/>
            <w:tcMar>
              <w:top w:w="25" w:type="dxa"/>
              <w:bottom w:w="25" w:type="dxa"/>
              <w:left w:w="30" w:type="dxa"/>
              <w:right w:w="30" w:type="dxa"/>
            </w:tcMar>
          </w:tcPr>
          <w:p>
            <w:pPr>
              <w:jc w:val="center"/>
            </w:pPr>
            <w:r>
              <w:rPr>
                <w:rFonts w:ascii="Times New Roman" w:hAnsi="Times New Roman"/>
                <w:sz w:val="15"/>
              </w:rPr>
              <w:t>5</w:t>
            </w:r>
          </w:p>
        </w:tc>
        <w:tc>
          <w:tcPr>
            <w:tcW w:type="dxa" w:w="1872"/>
            <w:tcMar>
              <w:top w:w="25" w:type="dxa"/>
              <w:bottom w:w="25" w:type="dxa"/>
              <w:left w:w="30" w:type="dxa"/>
              <w:right w:w="30" w:type="dxa"/>
            </w:tcMar>
          </w:tcPr>
          <w:p>
            <w:pPr>
              <w:jc w:val="left"/>
            </w:pPr>
            <w:r>
              <w:rPr>
                <w:rFonts w:ascii="Times New Roman" w:hAnsi="Times New Roman"/>
                <w:sz w:val="15"/>
              </w:rPr>
              <w:t>0.8576 [Win 1, 2, 12, 88, 90]</w:t>
            </w:r>
          </w:p>
        </w:tc>
      </w:tr>
      <w:tr>
        <w:tc>
          <w:tcPr>
            <w:tcW w:type="dxa" w:w="936"/>
            <w:tcMar>
              <w:top w:w="25" w:type="dxa"/>
              <w:bottom w:w="25" w:type="dxa"/>
              <w:left w:w="30" w:type="dxa"/>
              <w:right w:w="30" w:type="dxa"/>
            </w:tcMar>
          </w:tcPr>
          <w:p>
            <w:pPr>
              <w:jc w:val="left"/>
            </w:pPr>
            <w:r>
              <w:rPr>
                <w:rFonts w:ascii="Times New Roman" w:hAnsi="Times New Roman"/>
                <w:sz w:val="15"/>
              </w:rPr>
              <w:t>GSE</w:t>
            </w:r>
          </w:p>
        </w:tc>
        <w:tc>
          <w:tcPr>
            <w:tcW w:type="dxa" w:w="792"/>
            <w:tcMar>
              <w:top w:w="25" w:type="dxa"/>
              <w:bottom w:w="25" w:type="dxa"/>
              <w:left w:w="30" w:type="dxa"/>
              <w:right w:w="30" w:type="dxa"/>
            </w:tcMar>
          </w:tcPr>
          <w:p>
            <w:pPr>
              <w:jc w:val="center"/>
            </w:pPr>
            <w:r>
              <w:rPr>
                <w:rFonts w:ascii="Times New Roman" w:hAnsi="Times New Roman"/>
                <w:sz w:val="15"/>
              </w:rPr>
              <w:t>3 PDUs</w:t>
            </w:r>
          </w:p>
        </w:tc>
        <w:tc>
          <w:tcPr>
            <w:tcW w:type="dxa" w:w="576"/>
            <w:tcMar>
              <w:top w:w="25" w:type="dxa"/>
              <w:bottom w:w="25" w:type="dxa"/>
              <w:left w:w="30" w:type="dxa"/>
              <w:right w:w="30" w:type="dxa"/>
            </w:tcMar>
          </w:tcPr>
          <w:p>
            <w:pPr>
              <w:jc w:val="center"/>
            </w:pPr>
            <w:r>
              <w:rPr>
                <w:rFonts w:ascii="Times New Roman" w:hAnsi="Times New Roman"/>
                <w:sz w:val="15"/>
              </w:rPr>
              <w:t>5</w:t>
            </w:r>
          </w:p>
        </w:tc>
        <w:tc>
          <w:tcPr>
            <w:tcW w:type="dxa" w:w="576"/>
            <w:tcMar>
              <w:top w:w="25" w:type="dxa"/>
              <w:bottom w:w="25" w:type="dxa"/>
              <w:left w:w="30" w:type="dxa"/>
              <w:right w:w="30" w:type="dxa"/>
            </w:tcMar>
          </w:tcPr>
          <w:p>
            <w:pPr>
              <w:jc w:val="center"/>
            </w:pPr>
            <w:r>
              <w:rPr>
                <w:rFonts w:ascii="Times New Roman" w:hAnsi="Times New Roman"/>
                <w:sz w:val="15"/>
              </w:rPr>
              <w:t>1</w:t>
            </w:r>
          </w:p>
        </w:tc>
        <w:tc>
          <w:tcPr>
            <w:tcW w:type="dxa" w:w="1872"/>
            <w:tcMar>
              <w:top w:w="25" w:type="dxa"/>
              <w:bottom w:w="25" w:type="dxa"/>
              <w:left w:w="30" w:type="dxa"/>
              <w:right w:w="30" w:type="dxa"/>
            </w:tcMar>
          </w:tcPr>
          <w:p>
            <w:pPr>
              <w:jc w:val="left"/>
            </w:pPr>
            <w:r>
              <w:rPr>
                <w:rFonts w:ascii="Times New Roman" w:hAnsi="Times New Roman"/>
                <w:sz w:val="15"/>
              </w:rPr>
              <w:t>0.5018 [Win 4]</w:t>
            </w:r>
          </w:p>
        </w:tc>
      </w:tr>
      <w:tr>
        <w:tc>
          <w:tcPr>
            <w:tcW w:type="dxa" w:w="936"/>
            <w:tcMar>
              <w:top w:w="25" w:type="dxa"/>
              <w:bottom w:w="25" w:type="dxa"/>
              <w:left w:w="30" w:type="dxa"/>
              <w:right w:w="30" w:type="dxa"/>
            </w:tcMar>
          </w:tcPr>
          <w:p>
            <w:pPr>
              <w:jc w:val="left"/>
            </w:pPr>
            <w:r>
              <w:rPr>
                <w:rFonts w:ascii="Times New Roman" w:hAnsi="Times New Roman"/>
                <w:sz w:val="15"/>
              </w:rPr>
              <w:t>BBFrame</w:t>
            </w:r>
          </w:p>
        </w:tc>
        <w:tc>
          <w:tcPr>
            <w:tcW w:type="dxa" w:w="792"/>
            <w:tcMar>
              <w:top w:w="25" w:type="dxa"/>
              <w:bottom w:w="25" w:type="dxa"/>
              <w:left w:w="30" w:type="dxa"/>
              <w:right w:w="30" w:type="dxa"/>
            </w:tcMar>
          </w:tcPr>
          <w:p>
            <w:pPr>
              <w:jc w:val="center"/>
            </w:pPr>
            <w:r>
              <w:rPr>
                <w:rFonts w:ascii="Times New Roman" w:hAnsi="Times New Roman"/>
                <w:sz w:val="15"/>
              </w:rPr>
              <w:t>50 Frms</w:t>
            </w:r>
          </w:p>
        </w:tc>
        <w:tc>
          <w:tcPr>
            <w:tcW w:type="dxa" w:w="576"/>
            <w:tcMar>
              <w:top w:w="25" w:type="dxa"/>
              <w:bottom w:w="25" w:type="dxa"/>
              <w:left w:w="30" w:type="dxa"/>
              <w:right w:w="30" w:type="dxa"/>
            </w:tcMar>
          </w:tcPr>
          <w:p>
            <w:pPr>
              <w:jc w:val="center"/>
            </w:pPr>
            <w:r>
              <w:rPr>
                <w:rFonts w:ascii="Times New Roman" w:hAnsi="Times New Roman"/>
                <w:sz w:val="15"/>
              </w:rPr>
              <w:t>87</w:t>
            </w:r>
          </w:p>
        </w:tc>
        <w:tc>
          <w:tcPr>
            <w:tcW w:type="dxa" w:w="576"/>
            <w:tcMar>
              <w:top w:w="25" w:type="dxa"/>
              <w:bottom w:w="25" w:type="dxa"/>
              <w:left w:w="30" w:type="dxa"/>
              <w:right w:w="30" w:type="dxa"/>
            </w:tcMar>
          </w:tcPr>
          <w:p>
            <w:pPr>
              <w:jc w:val="center"/>
            </w:pPr>
            <w:r>
              <w:rPr>
                <w:rFonts w:ascii="Times New Roman" w:hAnsi="Times New Roman"/>
                <w:sz w:val="15"/>
              </w:rPr>
              <w:t>5</w:t>
            </w:r>
          </w:p>
        </w:tc>
        <w:tc>
          <w:tcPr>
            <w:tcW w:type="dxa" w:w="1872"/>
            <w:tcMar>
              <w:top w:w="25" w:type="dxa"/>
              <w:bottom w:w="25" w:type="dxa"/>
              <w:left w:w="30" w:type="dxa"/>
              <w:right w:w="30" w:type="dxa"/>
            </w:tcMar>
          </w:tcPr>
          <w:p>
            <w:pPr>
              <w:jc w:val="left"/>
            </w:pPr>
            <w:r>
              <w:rPr>
                <w:rFonts w:ascii="Times New Roman" w:hAnsi="Times New Roman"/>
                <w:sz w:val="15"/>
              </w:rPr>
              <w:t>0.7406 [Win 0, 83, 84, 85, 86]</w:t>
            </w:r>
          </w:p>
        </w:tc>
      </w:tr>
    </w:tbl>
    <w:p>
      <w:pPr>
        <w:spacing w:before="140" w:after="40"/>
        <w:ind w:firstLine="0"/>
        <w:jc w:val="center"/>
      </w:pPr>
      <w:r>
        <w:rPr>
          <w:rFonts w:ascii="Times New Roman" w:hAnsi="Times New Roman"/>
          <w:b/>
          <w:sz w:val="19"/>
        </w:rPr>
        <w:t>VII. VERIFICATION AND LIMITATIONS</w:t>
      </w:r>
    </w:p>
    <w:p>
      <w:pPr>
        <w:spacing w:after="50"/>
        <w:ind w:firstLine="230"/>
        <w:jc w:val="both"/>
      </w:pPr>
      <w:r>
        <w:rPr>
          <w:rFonts w:ascii="Times New Roman" w:hAnsi="Times New Roman"/>
          <w:sz w:val="19"/>
        </w:rPr>
        <w:t>System reliability is validated by an automated regression test suite executed via Python's standard unittest:</w:t>
        <w:br/>
        <w:t>python -m unittest discover -s tests -v</w:t>
        <w:br/>
        <w:t>• Outcome: 304 / 304 Tests Passing (100% Pass Rate) with 0 failures, 0 errors, and 0 skipped in 74.61s (268 backend modules and 36 frontend integration tests).</w:t>
        <w:br/>
        <w:t>• Domain Safeguards: PRJ_111 operates strictly post-demodulator on digital streams; it does not measure analog RF parameters (SNR, MER) and indexes timeline events strictly by physical byte offsets.</w:t>
      </w:r>
    </w:p>
    <w:p>
      <w:pPr>
        <w:spacing w:before="140" w:after="40"/>
        <w:ind w:firstLine="0"/>
        <w:jc w:val="center"/>
      </w:pPr>
      <w:r>
        <w:rPr>
          <w:rFonts w:ascii="Times New Roman" w:hAnsi="Times New Roman"/>
          <w:b/>
          <w:sz w:val="19"/>
        </w:rPr>
        <w:t>VIII. CONCLUSION</w:t>
      </w:r>
    </w:p>
    <w:p>
      <w:pPr>
        <w:spacing w:after="50"/>
        <w:ind w:firstLine="230"/>
        <w:jc w:val="both"/>
      </w:pPr>
      <w:r>
        <w:rPr>
          <w:rFonts w:ascii="Times New Roman" w:hAnsi="Times New Roman"/>
          <w:sz w:val="19"/>
        </w:rPr>
        <w:t>PRJ_111 unifies multi-format DVB-S2 receiver output stream analysis across MPEG-TS, GSE, and BBFrames. By combining deterministic health scoring, unsupervised Isolation Forest anomaly detection, physical spatial timelines, bounded Z-score explanations, and semantic comparison shields, it establishes a dependable, offline engineering workstation for ground station telemetry and research. Future extensions include SDR front-end integration and FPGA acceleration.</w:t>
      </w:r>
    </w:p>
    <w:p>
      <w:pPr>
        <w:spacing w:before="140" w:after="40"/>
        <w:ind w:firstLine="0"/>
        <w:jc w:val="center"/>
      </w:pPr>
      <w:r>
        <w:rPr>
          <w:rFonts w:ascii="Times New Roman" w:hAnsi="Times New Roman"/>
          <w:b/>
          <w:sz w:val="19"/>
        </w:rPr>
        <w:t>ACKNOWLEDGMENT</w:t>
      </w:r>
    </w:p>
    <w:p>
      <w:pPr>
        <w:spacing w:after="50"/>
        <w:ind w:firstLine="230"/>
        <w:jc w:val="both"/>
      </w:pPr>
      <w:r>
        <w:rPr>
          <w:rFonts w:ascii="Times New Roman" w:hAnsi="Times New Roman"/>
          <w:sz w:val="19"/>
        </w:rPr>
        <w:t>The authors thank Presidency University and project guide Irfan Rajab Bhat, Assistant Professor, for technical guidance and computing infrastructure support.</w:t>
      </w:r>
    </w:p>
    <w:p>
      <w:pPr>
        <w:spacing w:before="140" w:after="40"/>
        <w:ind w:firstLine="0"/>
        <w:jc w:val="center"/>
      </w:pPr>
      <w:r>
        <w:rPr>
          <w:rFonts w:ascii="Times New Roman" w:hAnsi="Times New Roman"/>
          <w:b/>
          <w:sz w:val="19"/>
        </w:rPr>
        <w:t>REFERENCES</w:t>
      </w:r>
    </w:p>
    <w:p>
      <w:pPr>
        <w:spacing w:after="40"/>
        <w:ind w:left="259" w:hanging="259"/>
        <w:jc w:val="both"/>
      </w:pPr>
      <w:r>
        <w:rPr>
          <w:rFonts w:ascii="Times New Roman" w:hAnsi="Times New Roman"/>
          <w:sz w:val="15"/>
        </w:rPr>
        <w:t>[1] “Digital Video Broadcasting (DVB); Second Generation Framing Structure, Channel Coding and Modulation Systems for Broadcasting, Interactive Services, News Gathering and Other Broadband Satellite Applications; Part 1: DVB-S2,” ETSI EN 302 307-1 V1.4.1, 2014.</w:t>
      </w:r>
    </w:p>
    <w:p>
      <w:pPr>
        <w:spacing w:after="40"/>
        <w:ind w:left="259" w:hanging="259"/>
        <w:jc w:val="both"/>
      </w:pPr>
      <w:r>
        <w:rPr>
          <w:rFonts w:ascii="Times New Roman" w:hAnsi="Times New Roman"/>
          <w:sz w:val="15"/>
        </w:rPr>
        <w:t>[2] A. Morello and V. Mignone, “DVB-S2: The Second Generation Standard for Satellite Broadband Services,” Proc. IEEE, vol. 94, no. 1, pp. 210–227, 2006.</w:t>
      </w:r>
    </w:p>
    <w:p>
      <w:pPr>
        <w:spacing w:after="40"/>
        <w:ind w:left="259" w:hanging="259"/>
        <w:jc w:val="both"/>
      </w:pPr>
      <w:r>
        <w:rPr>
          <w:rFonts w:ascii="Times New Roman" w:hAnsi="Times New Roman"/>
          <w:sz w:val="15"/>
        </w:rPr>
        <w:t>[3] “Information Technology — Generic Coding of Moving Pictures and Associated Audio Information — Part 1: Systems (MPEG-2 Transport Stream),” ISO/IEC 13818-1:2022, 2022.</w:t>
      </w:r>
    </w:p>
    <w:p>
      <w:pPr>
        <w:spacing w:after="40"/>
        <w:ind w:left="259" w:hanging="259"/>
        <w:jc w:val="both"/>
      </w:pPr>
      <w:r>
        <w:rPr>
          <w:rFonts w:ascii="Times New Roman" w:hAnsi="Times New Roman"/>
          <w:sz w:val="15"/>
        </w:rPr>
        <w:t>[4] “Digital Video Broadcasting (DVB); Generic Stream Encapsulation (GSE); Part 1: Protocol,” ETSI TS 102 606-1 V1.2.1, 2014.</w:t>
      </w:r>
    </w:p>
    <w:p>
      <w:pPr>
        <w:spacing w:after="40"/>
        <w:ind w:left="259" w:hanging="259"/>
        <w:jc w:val="both"/>
      </w:pPr>
      <w:r>
        <w:rPr>
          <w:rFonts w:ascii="Times New Roman" w:hAnsi="Times New Roman"/>
          <w:sz w:val="15"/>
        </w:rPr>
        <w:t>[5] P. L. Luisi et al., “Empirical Evaluation of Digital Video Broadcasting Systems and Transport Stream Analysis,” IEEE Trans. Broadcast., vol. 66, no. 2, pp. 431–444, 2020.</w:t>
      </w:r>
    </w:p>
    <w:p>
      <w:pPr>
        <w:spacing w:after="40"/>
        <w:ind w:left="259" w:hanging="259"/>
        <w:jc w:val="both"/>
      </w:pPr>
      <w:r>
        <w:rPr>
          <w:rFonts w:ascii="Times New Roman" w:hAnsi="Times New Roman"/>
          <w:sz w:val="15"/>
        </w:rPr>
        <w:t>[6] D. Minoli, Innovations in Satellite Communications and the Global Information Infrastructure. Hoboken, NJ: Wiley, 2015.</w:t>
      </w:r>
    </w:p>
    <w:p>
      <w:pPr>
        <w:spacing w:after="40"/>
        <w:ind w:left="259" w:hanging="259"/>
        <w:jc w:val="both"/>
      </w:pPr>
      <w:r>
        <w:rPr>
          <w:rFonts w:ascii="Times New Roman" w:hAnsi="Times New Roman"/>
          <w:sz w:val="15"/>
        </w:rPr>
        <w:t>[7] E. Casini et al., “DVB-S2 Modern Modulation and Coding Techniques for Satellite Broadcast,” IEEE Commun. Mag., vol. 42, no. 11, pp. 146–156, 2004.</w:t>
      </w:r>
    </w:p>
    <w:p>
      <w:pPr>
        <w:spacing w:after="40"/>
        <w:ind w:left="259" w:hanging="259"/>
        <w:jc w:val="both"/>
      </w:pPr>
      <w:r>
        <w:rPr>
          <w:rFonts w:ascii="Times New Roman" w:hAnsi="Times New Roman"/>
          <w:sz w:val="15"/>
        </w:rPr>
        <w:t>[8] B. Sklar, Digital Communications: Fundamentals and Applications, 2nd ed. Upper Saddle River, NJ: Prentice Hall, 2001.</w:t>
      </w:r>
    </w:p>
    <w:p>
      <w:pPr>
        <w:spacing w:after="40"/>
        <w:ind w:left="259" w:hanging="259"/>
        <w:jc w:val="both"/>
      </w:pPr>
      <w:r>
        <w:rPr>
          <w:rFonts w:ascii="Times New Roman" w:hAnsi="Times New Roman"/>
          <w:sz w:val="15"/>
        </w:rPr>
        <w:t>[9] G. Fairhurst and B. Collini-Nocker, “Generic Stream Encapsulation (GSE) for DVB-S2: Design and Evaluation,” Int. J. Satell. Commun. Netw., vol. 28, no. 5–6, pp. 287–305, 2010.</w:t>
      </w:r>
    </w:p>
    <w:p>
      <w:pPr>
        <w:spacing w:after="40"/>
        <w:ind w:left="259" w:hanging="259"/>
        <w:jc w:val="both"/>
      </w:pPr>
      <w:r>
        <w:rPr>
          <w:rFonts w:ascii="Times New Roman" w:hAnsi="Times New Roman"/>
          <w:sz w:val="15"/>
        </w:rPr>
        <w:t>[10] G. Fairhurst and B. Collini-Nocker, “Unidirectional Lightweight Encapsulation (ULE),” RFC 4326, 2005.</w:t>
      </w:r>
    </w:p>
    <w:p>
      <w:pPr>
        <w:spacing w:after="40"/>
        <w:ind w:left="259" w:hanging="259"/>
        <w:jc w:val="both"/>
      </w:pPr>
      <w:r>
        <w:rPr>
          <w:rFonts w:ascii="Times New Roman" w:hAnsi="Times New Roman"/>
          <w:sz w:val="15"/>
        </w:rPr>
        <w:t>[11] “Measurement Guidelines for DVB Systems,” ETSI TR 101 290 V1.4.1, 2020.</w:t>
      </w:r>
    </w:p>
    <w:p>
      <w:pPr>
        <w:spacing w:after="40"/>
        <w:ind w:left="259" w:hanging="259"/>
        <w:jc w:val="both"/>
      </w:pPr>
      <w:r>
        <w:rPr>
          <w:rFonts w:ascii="Times New Roman" w:hAnsi="Times New Roman"/>
          <w:sz w:val="15"/>
        </w:rPr>
        <w:t>[12] “Specification for Service Information (SI) in DVB Systems,” ETSI EN 300 468 V1.17.1, 2021.</w:t>
      </w:r>
    </w:p>
    <w:p>
      <w:pPr>
        <w:spacing w:after="40"/>
        <w:ind w:left="259" w:hanging="259"/>
        <w:jc w:val="both"/>
      </w:pPr>
      <w:r>
        <w:rPr>
          <w:rFonts w:ascii="Times New Roman" w:hAnsi="Times New Roman"/>
          <w:sz w:val="15"/>
        </w:rPr>
        <w:t>[13] V. Chandola et al., “Anomaly Detection: A Survey,” ACM Comput. Surv., vol. 41, no. 3, pp. 1–58, 2009.</w:t>
      </w:r>
    </w:p>
    <w:p>
      <w:pPr>
        <w:spacing w:after="40"/>
        <w:ind w:left="259" w:hanging="259"/>
        <w:jc w:val="both"/>
      </w:pPr>
      <w:r>
        <w:rPr>
          <w:rFonts w:ascii="Times New Roman" w:hAnsi="Times New Roman"/>
          <w:sz w:val="15"/>
        </w:rPr>
        <w:t>[14] M. A. F. Pimentel et al., “A Review of Novelty Detection,” Signal Process., vol. 99, pp. 215–249, 2014.</w:t>
      </w:r>
    </w:p>
    <w:p>
      <w:pPr>
        <w:spacing w:after="40"/>
        <w:ind w:left="259" w:hanging="259"/>
        <w:jc w:val="both"/>
      </w:pPr>
      <w:r>
        <w:rPr>
          <w:rFonts w:ascii="Times New Roman" w:hAnsi="Times New Roman"/>
          <w:sz w:val="15"/>
        </w:rPr>
        <w:t>[15] F. T. Liu, K. M. Ting, and Z.-H. Zhou, “Isolation Forest,” in Proc. IEEE ICDM, 2008, pp. 413–422.</w:t>
      </w:r>
    </w:p>
    <w:p>
      <w:pPr>
        <w:spacing w:after="40"/>
        <w:ind w:left="259" w:hanging="259"/>
        <w:jc w:val="both"/>
      </w:pPr>
      <w:r>
        <w:rPr>
          <w:rFonts w:ascii="Times New Roman" w:hAnsi="Times New Roman"/>
          <w:sz w:val="15"/>
        </w:rPr>
        <w:t>[16] F. T. Liu, K. M. Ting, and Z.-H. Zhou, “Isolation-Based Anomaly Detection,” ACM TKDD, vol. 6, no. 1, pp. 1–39, 2012.</w:t>
      </w:r>
    </w:p>
    <w:p>
      <w:pPr>
        <w:spacing w:after="40"/>
        <w:ind w:left="259" w:hanging="259"/>
        <w:jc w:val="both"/>
      </w:pPr>
      <w:r>
        <w:rPr>
          <w:rFonts w:ascii="Times New Roman" w:hAnsi="Times New Roman"/>
          <w:sz w:val="15"/>
        </w:rPr>
        <w:t>[17] R. S. Baggio et al., “Network Traffic Anomaly Detection Using Unsupervised Learning Models,” IEEE Access, vol. 9, pp. 15982–15998, 2021.</w:t>
      </w:r>
    </w:p>
    <w:p>
      <w:pPr>
        <w:spacing w:after="40"/>
        <w:ind w:left="259" w:hanging="259"/>
        <w:jc w:val="both"/>
      </w:pPr>
      <w:r>
        <w:rPr>
          <w:rFonts w:ascii="Times New Roman" w:hAnsi="Times New Roman"/>
          <w:sz w:val="15"/>
        </w:rPr>
        <w:t>[18] D. Arthur and S. Vassilvitskii, “k-means++: The Advantages of Careful Seeding,” in Proc. ACM-SIAM SODA, 2007, pp. 1027–1035.</w:t>
      </w:r>
    </w:p>
    <w:p>
      <w:pPr>
        <w:spacing w:after="40"/>
        <w:ind w:left="259" w:hanging="259"/>
        <w:jc w:val="both"/>
      </w:pPr>
      <w:r>
        <w:rPr>
          <w:rFonts w:ascii="Times New Roman" w:hAnsi="Times New Roman"/>
          <w:sz w:val="15"/>
        </w:rPr>
        <w:t>[19] M. Ester et al., “A Density-Based Algorithm for Discovering Clusters in Large Spatial Databases with Noise,” in Proc. KDD, 1996, pp. 226–231.</w:t>
      </w:r>
    </w:p>
    <w:p>
      <w:pPr>
        <w:spacing w:after="40"/>
        <w:ind w:left="259" w:hanging="259"/>
        <w:jc w:val="both"/>
      </w:pPr>
      <w:r>
        <w:rPr>
          <w:rFonts w:ascii="Times New Roman" w:hAnsi="Times New Roman"/>
          <w:sz w:val="15"/>
        </w:rPr>
        <w:t>[20] C. E. Shannon, “A Mathematical Theory of Communication,” Bell Syst. Tech. J., vol. 27, no. 3, pp. 379–423, 1948.</w:t>
      </w:r>
    </w:p>
    <w:sectPr w:rsidR="00FC693F" w:rsidRPr="0006063C" w:rsidSect="00034616">
      <w:type w:val="continuous"/>
      <w:pgSz w:w="12240" w:h="15840"/>
      <w:pgMar w:top="936" w:right="936" w:bottom="936" w:left="936"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50"/>
      <w:jc w:val="both"/>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