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10939" w:type="dxa"/>
        <w:tblInd w:w="-955" w:type="dxa"/>
        <w:tblLayout w:type="autofit"/>
        <w:tblCellMar>
          <w:top w:w="415" w:type="dxa"/>
          <w:left w:w="956" w:type="dxa"/>
          <w:bottom w:w="0" w:type="dxa"/>
          <w:right w:w="115" w:type="dxa"/>
        </w:tblCellMar>
      </w:tblPr>
      <w:tblGrid>
        <w:gridCol w:w="1203"/>
        <w:gridCol w:w="974"/>
        <w:gridCol w:w="3395"/>
        <w:gridCol w:w="4228"/>
        <w:gridCol w:w="1139"/>
      </w:tblGrid>
      <w:tr>
        <w:tblPrEx>
          <w:tblCellMar>
            <w:top w:w="415" w:type="dxa"/>
            <w:left w:w="956" w:type="dxa"/>
            <w:bottom w:w="0" w:type="dxa"/>
            <w:right w:w="115" w:type="dxa"/>
          </w:tblCellMar>
        </w:tblPrEx>
        <w:trPr>
          <w:trHeight w:hRule="atLeast" w:val="15871"/>
        </w:trPr>
        <w:tc>
          <w:tcPr>
            <w:tcW w:w="10939" w:type="dxa"/>
            <w:gridSpan w:val="5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40" w:after="0" w:beforeAutospacing="0" w:afterAutospacing="0"/>
              <w:ind w:right="839"/>
              <w:jc w:val="center"/>
              <w:rPr>
                <w:sz w:val="24"/>
              </w:rPr>
            </w:pPr>
          </w:p>
          <w:p>
            <w:pPr>
              <w:spacing w:lineRule="auto" w:line="240" w:after="0" w:beforeAutospacing="0" w:afterAutospacing="0"/>
              <w:ind w:right="843"/>
              <w:jc w:val="center"/>
              <w:rPr>
                <w:sz w:val="24"/>
              </w:rPr>
            </w:pPr>
            <w:r>
              <w:rPr>
                <w:b w:val="1"/>
                <w:sz w:val="24"/>
              </w:rPr>
              <w:t xml:space="preserve">Proposed Solution Template </w:t>
            </w:r>
          </w:p>
          <w:p>
            <w:pPr>
              <w:spacing w:lineRule="auto" w:line="240" w:after="0" w:beforeAutospacing="0" w:afterAutospacing="0"/>
              <w:ind w:right="788"/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2"/>
              </w:rPr>
              <w:t xml:space="preserve"> </w:t>
            </w:r>
          </w:p>
          <w:tbl>
            <w:tblPr>
              <w:tblStyle w:val="T2"/>
              <w:tblW w:w="9018" w:type="dxa"/>
              <w:tblInd w:w="5" w:type="dxa"/>
              <w:tblLayout w:type="autofit"/>
              <w:tblCellMar>
                <w:top w:w="12" w:type="dxa"/>
                <w:left w:w="108" w:type="dxa"/>
                <w:bottom w:w="0" w:type="dxa"/>
                <w:right w:w="115" w:type="dxa"/>
              </w:tblCellMar>
            </w:tblPr>
            <w:tblGrid>
              <w:gridCol w:w="4507"/>
              <w:gridCol w:w="4511"/>
            </w:tblGrid>
            <w:tr>
              <w:trPr>
                <w:trHeight w:hRule="atLeast" w:val="262"/>
              </w:trPr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>25 June 2025</w:t>
                  </w:r>
                </w:p>
              </w:tc>
            </w:tr>
            <w:tr>
              <w:tblPrEx>
                <w:tblCellMar>
                  <w:top w:w="12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264"/>
              </w:trPr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SimSun" w:hint="default"/>
                      <w:i w:val="0"/>
                      <w:iCs w:val="0"/>
                      <w:caps w:val="0"/>
                      <w:color w:val="222222"/>
                      <w:sz w:val="20"/>
                      <w:szCs w:val="20"/>
                      <w:shd w:val="clear" w:color="auto" w:fill="FFFFFF"/>
                      <w:spacing w:val="0"/>
                    </w:rPr>
                    <w:t>LTVIP2025TMID59380</w:t>
                  </w:r>
                </w:p>
              </w:tc>
            </w:tr>
            <w:tr>
              <w:tblPrEx>
                <w:tblCellMar>
                  <w:top w:w="12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264"/>
              </w:trPr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House Hunt App using MERN </w:t>
                  </w:r>
                </w:p>
              </w:tc>
            </w:tr>
            <w:tr>
              <w:tblPrEx>
                <w:tblCellMar>
                  <w:top w:w="12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262"/>
              </w:trPr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3 Marks </w:t>
                  </w:r>
                </w:p>
              </w:tc>
            </w:tr>
          </w:tbl>
          <w:p>
            <w:pPr>
              <w:spacing w:lineRule="auto" w:line="240" w:after="0" w:beforeAutospacing="0" w:afterAutospacing="0"/>
              <w:rPr>
                <w:sz w:val="24"/>
              </w:rPr>
            </w:pPr>
            <w:r>
              <w:rPr>
                <w:b w:val="1"/>
                <w:sz w:val="22"/>
              </w:rPr>
              <w:t xml:space="preserve"> </w:t>
            </w:r>
          </w:p>
          <w:p>
            <w:pPr>
              <w:spacing w:lineRule="auto" w:line="240" w:after="158" w:beforeAutospacing="0" w:afterAutospacing="0"/>
              <w:rPr>
                <w:sz w:val="24"/>
              </w:rPr>
            </w:pPr>
            <w:r>
              <w:rPr>
                <w:b w:val="1"/>
                <w:sz w:val="22"/>
              </w:rPr>
              <w:t xml:space="preserve">Proposed Solution Template: </w:t>
            </w:r>
            <w:bookmarkStart w:id="0" w:name="_GoBack"/>
            <w:bookmarkEnd w:id="0"/>
          </w:p>
          <w:p>
            <w:pPr>
              <w:spacing w:lineRule="auto" w:line="240" w:after="0" w:beforeAutospacing="0" w:afterAutospacing="0"/>
              <w:rPr>
                <w:sz w:val="24"/>
              </w:rPr>
            </w:pPr>
            <w:r>
              <w:rPr>
                <w:sz w:val="22"/>
              </w:rPr>
              <w:t xml:space="preserve">Project team shall fill the following information in proposed solution template. </w:t>
            </w:r>
          </w:p>
          <w:tbl>
            <w:tblPr>
              <w:tblStyle w:val="T2"/>
              <w:tblW w:w="9069" w:type="dxa"/>
              <w:tblInd w:w="5" w:type="dxa"/>
              <w:tblLayout w:type="autofit"/>
              <w:tblCellMar>
                <w:top w:w="12" w:type="dxa"/>
                <w:left w:w="106" w:type="dxa"/>
                <w:bottom w:w="0" w:type="dxa"/>
                <w:right w:w="56" w:type="dxa"/>
              </w:tblCellMar>
            </w:tblPr>
            <w:tblGrid>
              <w:gridCol w:w="902"/>
              <w:gridCol w:w="3658"/>
              <w:gridCol w:w="4509"/>
            </w:tblGrid>
            <w:tr>
              <w:tblPrEx>
                <w:tblCellMar>
                  <w:top w:w="12" w:type="dxa"/>
                  <w:left w:w="106" w:type="dxa"/>
                  <w:bottom w:w="0" w:type="dxa"/>
                  <w:right w:w="56" w:type="dxa"/>
                </w:tblCellMar>
              </w:tblPrEx>
              <w:trPr>
                <w:trHeight w:hRule="atLeast" w:val="566"/>
              </w:trPr>
              <w:tc>
                <w:tcPr>
                  <w:tcW w:w="902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ind w:left="2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22"/>
                    </w:rPr>
                    <w:t xml:space="preserve">S.No. </w:t>
                  </w:r>
                </w:p>
              </w:tc>
              <w:tc>
                <w:tcPr>
                  <w:tcW w:w="365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22"/>
                    </w:rPr>
                    <w:t xml:space="preserve">Parameter </w:t>
                  </w:r>
                </w:p>
              </w:tc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ind w:left="2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22"/>
                    </w:rPr>
                    <w:t xml:space="preserve">Description </w:t>
                  </w:r>
                </w:p>
              </w:tc>
            </w:tr>
            <w:tr>
              <w:tblPrEx>
                <w:tblCellMar>
                  <w:top w:w="12" w:type="dxa"/>
                  <w:left w:w="106" w:type="dxa"/>
                  <w:bottom w:w="0" w:type="dxa"/>
                  <w:right w:w="56" w:type="dxa"/>
                </w:tblCellMar>
              </w:tblPrEx>
              <w:trPr>
                <w:trHeight w:hRule="atLeast" w:val="2211"/>
              </w:trPr>
              <w:tc>
                <w:tcPr>
                  <w:tcW w:w="902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ind w:left="286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>1.</w:t>
                  </w:r>
                  <w:r>
                    <w:rPr>
                      <w:rFonts w:ascii="Arial" w:hAnsi="Arial" w:cs="Arial" w:eastAsia="Arial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22222"/>
                      <w:sz w:val="22"/>
                    </w:rPr>
                    <w:t>Problem Statement (Problem to be solved)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37" w:after="1" w:beforeAutospacing="0" w:afterAutospacing="0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Finding rental properties can be time-consuming and inefficient. Renters face challenges like lack of transparency, difficulty in contacting landlords, and cumbersome paperwork. </w:t>
                  </w:r>
                </w:p>
                <w:p>
                  <w:pPr>
                    <w:spacing w:lineRule="auto" w:line="240" w:after="0" w:beforeAutospacing="0" w:afterAutospacing="0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Landlords struggle with managing property listings and verifying potential tenants. There is a need for a streamlined, user-friendly platform to connect renters and landlords efficiently. </w:t>
                  </w:r>
                </w:p>
              </w:tc>
            </w:tr>
            <w:tr>
              <w:tblPrEx>
                <w:tblCellMar>
                  <w:top w:w="12" w:type="dxa"/>
                  <w:left w:w="106" w:type="dxa"/>
                  <w:bottom w:w="0" w:type="dxa"/>
                  <w:right w:w="56" w:type="dxa"/>
                </w:tblCellMar>
              </w:tblPrEx>
              <w:trPr>
                <w:trHeight w:hRule="atLeast" w:val="2684"/>
              </w:trPr>
              <w:tc>
                <w:tcPr>
                  <w:tcW w:w="902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ind w:left="286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>2.</w:t>
                  </w:r>
                  <w:r>
                    <w:rPr>
                      <w:rFonts w:ascii="Arial" w:hAnsi="Arial" w:cs="Arial" w:eastAsia="Arial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22222"/>
                      <w:sz w:val="22"/>
                    </w:rPr>
                    <w:t>Idea / Solution description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36" w:after="2" w:beforeAutospacing="0" w:afterAutospacing="0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The proposed solution is a house rent app using the MERN stack. The app will provide property listings with detailed descriptions, photos, and </w:t>
                  </w:r>
                </w:p>
                <w:p>
                  <w:pPr>
                    <w:spacing w:lineRule="auto" w:line="238" w:after="0" w:beforeAutospacing="0" w:afterAutospacing="0"/>
                    <w:ind w:hanging="23" w:left="23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rent information. Users can register as renters or owners, search for properties using filters, contact landlords directly, and complete </w:t>
                  </w:r>
                </w:p>
                <w:p>
                  <w:pPr>
                    <w:spacing w:lineRule="auto" w:line="240" w:after="0" w:beforeAutospacing="0" w:afterAutospacing="0"/>
                    <w:ind w:right="54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booking and lease agreements within the app. </w:t>
                  </w:r>
                </w:p>
                <w:p>
                  <w:pPr>
                    <w:spacing w:lineRule="auto" w:line="240" w:after="0" w:beforeAutospacing="0" w:afterAutospacing="0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Admins will oversee the platform to ensure compliance with policies and handle user approvals. </w:t>
                  </w:r>
                </w:p>
              </w:tc>
            </w:tr>
            <w:tr>
              <w:tblPrEx>
                <w:tblCellMar>
                  <w:top w:w="12" w:type="dxa"/>
                  <w:left w:w="106" w:type="dxa"/>
                  <w:bottom w:w="0" w:type="dxa"/>
                  <w:right w:w="56" w:type="dxa"/>
                </w:tblCellMar>
              </w:tblPrEx>
              <w:trPr>
                <w:trHeight w:hRule="atLeast" w:val="2282"/>
              </w:trPr>
              <w:tc>
                <w:tcPr>
                  <w:tcW w:w="902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ind w:left="286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>3.</w:t>
                  </w:r>
                  <w:r>
                    <w:rPr>
                      <w:rFonts w:ascii="Arial" w:hAnsi="Arial" w:cs="Arial" w:eastAsia="Arial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22222"/>
                      <w:sz w:val="22"/>
                    </w:rPr>
                    <w:t xml:space="preserve">Novelty / Uniqueness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36" w:after="2" w:beforeAutospacing="0" w:afterAutospacing="0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This app integrates all rental processes into one platform, from searching properties to finalizing lease agreements. It uses real-time data </w:t>
                  </w:r>
                </w:p>
                <w:p>
                  <w:pPr>
                    <w:spacing w:lineRule="auto" w:line="240" w:after="0" w:beforeAutospacing="0" w:afterAutospacing="0"/>
                    <w:ind w:right="54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exchange and secure transactions to enhance </w:t>
                  </w:r>
                </w:p>
                <w:p>
                  <w:pPr>
                    <w:spacing w:lineRule="auto" w:line="240" w:after="0" w:beforeAutospacing="0" w:afterAutospacing="0"/>
                    <w:ind w:right="52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user experience. The integration of messaging </w:t>
                  </w:r>
                </w:p>
                <w:p>
                  <w:pPr>
                    <w:spacing w:lineRule="auto" w:line="240" w:after="0" w:beforeAutospacing="0" w:afterAutospacing="0"/>
                    <w:ind w:left="11" w:right="8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for direct communication and admin oversight for platform governance adds layers of reliability and trust. </w:t>
                  </w:r>
                </w:p>
              </w:tc>
            </w:tr>
            <w:tr>
              <w:tblPrEx>
                <w:tblCellMar>
                  <w:top w:w="12" w:type="dxa"/>
                  <w:left w:w="106" w:type="dxa"/>
                  <w:bottom w:w="0" w:type="dxa"/>
                  <w:right w:w="56" w:type="dxa"/>
                </w:tblCellMar>
              </w:tblPrEx>
              <w:trPr>
                <w:trHeight w:hRule="atLeast" w:val="2540"/>
              </w:trPr>
              <w:tc>
                <w:tcPr>
                  <w:tcW w:w="902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ind w:left="286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>4.</w:t>
                  </w:r>
                  <w:r>
                    <w:rPr>
                      <w:rFonts w:ascii="Arial" w:hAnsi="Arial" w:cs="Arial" w:eastAsia="Arial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22222"/>
                      <w:sz w:val="22"/>
                    </w:rPr>
                    <w:t>Social Impact / Customer Satisfaction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37" w:after="2" w:beforeAutospacing="0" w:afterAutospacing="0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The app simplifies the rental process, saving time and effort for renters and landlords. It </w:t>
                  </w:r>
                </w:p>
                <w:p>
                  <w:pPr>
                    <w:spacing w:lineRule="auto" w:line="236" w:after="2" w:beforeAutospacing="0" w:afterAutospacing="0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promotes transparency and trust by providing detailed property information and secure </w:t>
                  </w:r>
                </w:p>
                <w:p>
                  <w:pPr>
                    <w:spacing w:lineRule="auto" w:line="237" w:after="0" w:beforeAutospacing="0" w:afterAutospacing="0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communication channels. The app's ease of use and efficiency can lead to higher customer satisfaction and improved access to rental properties. </w:t>
                  </w:r>
                </w:p>
                <w:p>
                  <w:pPr>
                    <w:spacing w:lineRule="auto" w:line="240" w:after="0" w:beforeAutospacing="0" w:afterAutospacing="0"/>
                    <w:ind w:left="5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 </w:t>
                  </w:r>
                </w:p>
                <w:p>
                  <w:pPr>
                    <w:spacing w:lineRule="auto" w:line="240" w:after="0" w:beforeAutospacing="0" w:afterAutospacing="0"/>
                    <w:ind w:left="5"/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2"/>
                    </w:rPr>
                    <w:t xml:space="preserve"> </w:t>
                  </w:r>
                </w:p>
              </w:tc>
            </w:tr>
          </w:tbl>
          <w:p>
            <w:pPr>
              <w:spacing w:lineRule="auto" w:line="240" w:after="0" w:beforeAutospacing="0" w:afterAutospacing="0"/>
              <w:rPr>
                <w:sz w:val="24"/>
              </w:rPr>
            </w:pPr>
          </w:p>
        </w:tc>
      </w:tr>
      <w:tr>
        <w:tblPrEx>
          <w:tblCellMar>
            <w:top w:w="12" w:type="dxa"/>
            <w:left w:w="106" w:type="dxa"/>
            <w:bottom w:w="0" w:type="dxa"/>
            <w:right w:w="96" w:type="dxa"/>
          </w:tblCellMar>
        </w:tblPrEx>
        <w:trPr>
          <w:gridBefore w:val="1"/>
          <w:gridAfter w:val="1"/>
          <w:wBefore w:w="960" w:type="dxa"/>
          <w:wAfter w:w="910" w:type="dxa"/>
          <w:trHeight w:hRule="atLeast" w:val="1988"/>
        </w:trPr>
        <w:tc>
          <w:tcPr>
            <w:tcW w:w="9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40" w:after="0" w:beforeAutospacing="0" w:afterAutospacing="0"/>
              <w:ind w:left="286"/>
              <w:rPr>
                <w:sz w:val="24"/>
              </w:rPr>
            </w:pPr>
            <w:bookmarkStart w:id="1" w:name="_Hlk201872315" w:colFirst="0" w:colLast="2"/>
            <w:r>
              <w:rPr>
                <w:rFonts w:ascii="Times New Roman" w:hAnsi="Times New Roman" w:cs="Times New Roman" w:eastAsia="Times New Roman"/>
                <w:sz w:val="22"/>
              </w:rPr>
              <w:t>5.</w:t>
            </w:r>
            <w:r>
              <w:rPr>
                <w:rFonts w:ascii="Arial" w:hAnsi="Arial" w:cs="Arial" w:eastAsia="Arial"/>
                <w:sz w:val="22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40" w:after="0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z w:val="22"/>
              </w:rPr>
              <w:t>Business Model (Revenue Model)</w:t>
            </w:r>
            <w:r>
              <w:rPr>
                <w:rFonts w:ascii="Times New Roman" w:hAnsi="Times New Roman" w:cs="Times New Roman" w:eastAsia="Times New Roman"/>
                <w:sz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6" w:after="2" w:beforeAutospacing="0" w:afterAutospacing="0"/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Revenue can be generated through subscription fees for premium listings, service fees for </w:t>
            </w:r>
          </w:p>
          <w:p>
            <w:pPr>
              <w:spacing w:lineRule="auto" w:line="240" w:after="0" w:beforeAutospacing="0" w:afterAutospacing="0"/>
              <w:ind w:right="12"/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successful bookings, and advertisements. </w:t>
            </w:r>
          </w:p>
          <w:p>
            <w:pPr>
              <w:spacing w:lineRule="auto" w:line="240" w:after="0" w:beforeAutospacing="0" w:afterAutospacing="0"/>
              <w:ind w:hanging="24" w:left="24"/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Property owners can pay for featured listings to increase visibility. Additionally, partnerships with moving services and home insurance providers can open up new revenue streams. 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96" w:type="dxa"/>
          </w:tblCellMar>
        </w:tblPrEx>
        <w:trPr>
          <w:gridBefore w:val="1"/>
          <w:gridAfter w:val="1"/>
          <w:wBefore w:w="960" w:type="dxa"/>
          <w:wAfter w:w="910" w:type="dxa"/>
          <w:trHeight w:hRule="atLeast" w:val="2033"/>
        </w:trPr>
        <w:tc>
          <w:tcPr>
            <w:tcW w:w="9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40" w:after="0" w:beforeAutospacing="0" w:afterAutospacing="0"/>
              <w:ind w:left="286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>6.</w:t>
            </w:r>
            <w:r>
              <w:rPr>
                <w:rFonts w:ascii="Arial" w:hAnsi="Arial" w:cs="Arial" w:eastAsia="Arial"/>
                <w:sz w:val="22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40" w:after="0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z w:val="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36" w:after="0" w:beforeAutospacing="0" w:afterAutospacing="0"/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The app is designed to be scalable with a robust technical architecture. MongoDB allows for </w:t>
            </w:r>
          </w:p>
          <w:p>
            <w:pPr>
              <w:spacing w:lineRule="auto" w:line="239" w:after="0" w:beforeAutospacing="0" w:afterAutospacing="0"/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efficient data handling, while the MERN stack ensures seamless integration and performance. </w:t>
            </w:r>
          </w:p>
          <w:p>
            <w:pPr>
              <w:spacing w:lineRule="auto" w:line="240" w:after="0" w:beforeAutospacing="0" w:afterAutospacing="0"/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The solution can be expanded to new regions, accommodate more users, and incorporate additional features like rental reviews and neighborhood insights. </w:t>
            </w:r>
          </w:p>
        </w:tc>
      </w:tr>
    </w:tbl>
    <w:p>
      <w:pPr>
        <w:rPr>
          <w:lang w:val="en-US"/>
        </w:rPr>
      </w:pPr>
      <w:bookmarkEnd w:id="1"/>
    </w:p>
    <w:sectPr>
      <w:footnotePr/>
      <w:endnotePr/>
      <w:type w:val="nextPage"/>
      <w:pgSz w:w="11906" w:h="16838" w:code="0"/>
      <w:pgMar w:left="1440" w:right="1440" w:top="1440" w:bottom="1440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beforeAutospacing="0" w:afterAutospacing="0"/>
      </w:pPr>
      <w:r>
        <w:separator/>
      </w:r>
    </w:p>
  </w:endnote>
  <w:endnote w:type="continuationSeparator" w:id="0">
    <w:p>
      <w:pPr>
        <w:spacing w:lineRule="auto" w:line="24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59" w:before="0" w:after="0" w:beforeAutospacing="0" w:afterAutospacing="0"/>
      </w:pPr>
      <w:r>
        <w:separator/>
      </w:r>
    </w:p>
  </w:footnote>
  <w:footnote w:type="continuationSeparator" w:id="0">
    <w:p>
      <w:pPr>
        <w:spacing w:lineRule="auto" w:line="259" w:before="0" w:after="0" w:beforeAutospacing="0" w:afterAutospacing="0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SimSun"/>
        <w:sz w:val="20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</w:pPr>
    <w:rPr>
      <w:rFonts w:ascii="Calibri" w:hAnsi="Calibri" w:cs="Calibri" w:eastAsia="Calibri"/>
      <w:color w:val="000000"/>
      <w:sz w:val="22"/>
      <w:szCs w:val="24"/>
      <w:kern w:val="2"/>
      <w:lang w:val="en-IN" w:bidi="ar-SA" w:eastAsia="en-IN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40"/>
      <w:szCs w:val="40"/>
      <w:lang w:eastAsia="en-US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  <w:lang w:eastAsia="en-US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160" w:after="80" w:beforeAutospacing="0" w:afterAutospacing="0"/>
      <w:outlineLvl w:val="2"/>
    </w:pPr>
    <w:rPr>
      <w:rFonts w:asciiTheme="minorHAnsi" w:hAnsiTheme="minorHAnsi" w:cstheme="majorBidi" w:eastAsiaTheme="majorEastAsia"/>
      <w:color w:val="2F5496" w:themeColor="accent1" w:themeShade="BF"/>
      <w:sz w:val="28"/>
      <w:szCs w:val="28"/>
      <w:lang w:eastAsia="en-US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asciiTheme="minorHAnsi" w:hAnsiTheme="minorHAnsi" w:cstheme="majorBidi" w:eastAsiaTheme="majorEastAsia"/>
      <w:i w:val="1"/>
      <w:iCs w:val="1"/>
      <w:color w:val="2F5496" w:themeColor="accent1" w:themeShade="BF"/>
      <w:szCs w:val="22"/>
      <w:lang w:eastAsia="en-US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asciiTheme="minorHAnsi" w:hAnsiTheme="minorHAnsi" w:cstheme="majorBidi" w:eastAsiaTheme="majorEastAsia"/>
      <w:color w:val="2F5496" w:themeColor="accent1" w:themeShade="BF"/>
      <w:szCs w:val="22"/>
      <w:lang w:eastAsia="en-US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asciiTheme="minorHAnsi" w:hAnsiTheme="minorHAnsi" w:cstheme="majorBidi" w:eastAsiaTheme="majorEastAsia"/>
      <w:i w:val="1"/>
      <w:iCs w:val="1"/>
      <w:color w:val="595959" w:themeColor="text1" w:themeTint="A6"/>
      <w:szCs w:val="22"/>
      <w:lang w:eastAsia="en-US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asciiTheme="minorHAnsi" w:hAnsiTheme="minorHAnsi" w:cstheme="majorBidi" w:eastAsiaTheme="majorEastAsia"/>
      <w:color w:val="595959" w:themeColor="text1" w:themeTint="A6"/>
      <w:szCs w:val="22"/>
      <w:lang w:eastAsia="en-US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rFonts w:asciiTheme="minorHAnsi" w:hAnsiTheme="minorHAnsi" w:cstheme="majorBidi" w:eastAsiaTheme="majorEastAsia"/>
      <w:i w:val="1"/>
      <w:iCs w:val="1"/>
      <w:color w:val="262626" w:themeColor="text1" w:themeTint="D9"/>
      <w:szCs w:val="22"/>
      <w:lang w:eastAsia="en-US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rFonts w:asciiTheme="minorHAnsi" w:hAnsiTheme="minorHAnsi" w:cstheme="majorBidi" w:eastAsiaTheme="majorEastAsia"/>
      <w:color w:val="262626" w:themeColor="text1" w:themeTint="D9"/>
      <w:szCs w:val="22"/>
      <w:lang w:eastAsia="en-US"/>
    </w:rPr>
  </w:style>
  <w:style w:type="paragraph" w:styleId="P10">
    <w:name w:val="Subtitle"/>
    <w:basedOn w:val="P0"/>
    <w:next w:val="P0"/>
    <w:link w:val="C13"/>
    <w:qFormat/>
    <w:pPr/>
    <w:rPr>
      <w:rFonts w:asciiTheme="minorHAnsi" w:hAnsiTheme="minorHAnsi" w:cstheme="majorBidi" w:eastAsiaTheme="majorEastAsia"/>
      <w:color w:val="595959" w:themeColor="text1" w:themeTint="A6"/>
      <w:sz w:val="28"/>
      <w:szCs w:val="28"/>
      <w:spacing w:val="15"/>
      <w:lang w:eastAsia="en-US"/>
    </w:rPr>
  </w:style>
  <w:style w:type="paragraph" w:styleId="P11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color w:val="auto"/>
      <w:sz w:val="56"/>
      <w:szCs w:val="56"/>
      <w:spacing w:val="-10"/>
      <w:kern w:val="28"/>
      <w:lang w:eastAsia="en-US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rFonts w:asciiTheme="minorHAnsi" w:hAnsiTheme="minorHAnsi" w:cstheme="minorBidi" w:eastAsiaTheme="minorHAnsi"/>
      <w:i w:val="1"/>
      <w:iCs w:val="1"/>
      <w:color w:val="404040" w:themeColor="text1" w:themeTint="BF"/>
      <w:szCs w:val="22"/>
      <w:lang w:eastAsia="en-US"/>
    </w:rPr>
  </w:style>
  <w:style w:type="paragraph" w:styleId="P13">
    <w:name w:val="List Paragraph"/>
    <w:basedOn w:val="P0"/>
    <w:qFormat/>
    <w:pPr>
      <w:ind w:left="720"/>
      <w:contextualSpacing w:val="1"/>
    </w:pPr>
    <w:rPr>
      <w:rFonts w:asciiTheme="minorHAnsi" w:hAnsiTheme="minorHAnsi" w:cstheme="minorBidi" w:eastAsiaTheme="minorHAnsi"/>
      <w:color w:val="auto"/>
      <w:szCs w:val="22"/>
      <w:lang w:eastAsia="en-US"/>
    </w:rPr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2F5496" w:themeColor="accent1" w:themeShade="BF"/>
        <w:left w:val="none" w:sz="0" w:space="0" w:shadow="0" w:frame="0" w:color="auto"/>
        <w:bottom w:val="single" w:sz="4" w:space="10" w:shadow="0" w:frame="0" w:color="2F5496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rFonts w:asciiTheme="minorHAnsi" w:hAnsiTheme="minorHAnsi" w:cstheme="minorBidi" w:eastAsiaTheme="minorHAnsi"/>
      <w:i w:val="1"/>
      <w:iCs w:val="1"/>
      <w:color w:val="2F5496" w:themeColor="accent1" w:themeShade="BF"/>
      <w:szCs w:val="22"/>
      <w:lang w:eastAsia="en-US"/>
    </w:rPr>
  </w:style>
  <w:style w:type="paragraph" w:styleId="P15">
    <w:name w:val="Footnote Text"/>
    <w:link w:val="C19"/>
    <w:semiHidden/>
    <w:pPr>
      <w:spacing w:lineRule="auto" w:line="240" w:after="0"/>
    </w:pPr>
    <w:rPr>
      <w:sz w:val="20"/>
      <w:szCs w:val="20"/>
    </w:rPr>
  </w:style>
  <w:style w:type="paragraph" w:styleId="P16">
    <w:name w:val="Endnote Text"/>
    <w:link w:val="C21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40"/>
      <w:szCs w:val="40"/>
    </w:rPr>
  </w:style>
  <w:style w:type="character" w:styleId="C4">
    <w:name w:val="Heading 2 Char"/>
    <w:basedOn w:val="C0"/>
    <w:link w:val="P2"/>
    <w:semiHidden/>
    <w:qFormat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5">
    <w:name w:val="Heading 3 Char"/>
    <w:basedOn w:val="C0"/>
    <w:link w:val="P3"/>
    <w:semiHidden/>
    <w:qFormat/>
    <w:rPr>
      <w:rFonts w:cstheme="majorBidi" w:eastAsiaTheme="majorEastAsia"/>
      <w:color w:val="2F5496" w:themeColor="accent1" w:themeShade="BF"/>
      <w:sz w:val="28"/>
      <w:szCs w:val="28"/>
    </w:rPr>
  </w:style>
  <w:style w:type="character" w:styleId="C6">
    <w:name w:val="Heading 4 Char"/>
    <w:basedOn w:val="C0"/>
    <w:link w:val="P4"/>
    <w:semiHidden/>
    <w:qFormat/>
    <w:rPr>
      <w:rFonts w:cstheme="majorBidi" w:eastAsiaTheme="majorEastAsia"/>
      <w:i w:val="1"/>
      <w:iCs w:val="1"/>
      <w:color w:val="2F5496" w:themeColor="accent1" w:themeShade="BF"/>
    </w:rPr>
  </w:style>
  <w:style w:type="character" w:styleId="C7">
    <w:name w:val="Heading 5 Char"/>
    <w:basedOn w:val="C0"/>
    <w:link w:val="P5"/>
    <w:semiHidden/>
    <w:qFormat/>
    <w:rPr>
      <w:rFonts w:cstheme="majorBidi" w:eastAsiaTheme="majorEastAsia"/>
      <w:color w:val="2F5496" w:themeColor="accent1" w:themeShade="BF"/>
    </w:rPr>
  </w:style>
  <w:style w:type="character" w:styleId="C8">
    <w:name w:val="Heading 6 Char"/>
    <w:basedOn w:val="C0"/>
    <w:link w:val="P6"/>
    <w:semiHidden/>
    <w:qFormat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semiHidden/>
    <w:qFormat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8"/>
    <w:semiHidden/>
    <w:qFormat/>
    <w:rPr>
      <w:rFonts w:cstheme="majorBidi" w:eastAsiaTheme="majorEastAsia"/>
      <w:i w:val="1"/>
      <w:iCs w:val="1"/>
      <w:color w:val="262626" w:themeColor="text1" w:themeTint="D9"/>
    </w:rPr>
  </w:style>
  <w:style w:type="character" w:styleId="C11">
    <w:name w:val="Heading 9 Char"/>
    <w:basedOn w:val="C0"/>
    <w:link w:val="P9"/>
    <w:semiHidden/>
    <w:qFormat/>
    <w:rPr>
      <w:rFonts w:cstheme="majorBidi" w:eastAsiaTheme="majorEastAsia"/>
      <w:color w:val="262626" w:themeColor="text1" w:themeTint="D9"/>
    </w:rPr>
  </w:style>
  <w:style w:type="character" w:styleId="C12">
    <w:name w:val="Title Char"/>
    <w:basedOn w:val="C0"/>
    <w:link w:val="P11"/>
    <w:qFormat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0"/>
    <w:qFormat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2"/>
    <w:qFormat/>
    <w:rPr>
      <w:i w:val="1"/>
      <w:iCs w:val="1"/>
      <w:color w:val="404040" w:themeColor="text1" w:themeTint="BF"/>
    </w:rPr>
  </w:style>
  <w:style w:type="character" w:styleId="C15">
    <w:name w:val="Intense Emphasis1"/>
    <w:basedOn w:val="C0"/>
    <w:qFormat/>
    <w:rPr>
      <w:i w:val="1"/>
      <w:iCs w:val="1"/>
      <w:color w:val="2F5496" w:themeColor="accent1" w:themeShade="BF"/>
    </w:rPr>
  </w:style>
  <w:style w:type="character" w:styleId="C16">
    <w:name w:val="Intense Quote Char"/>
    <w:basedOn w:val="C0"/>
    <w:link w:val="P14"/>
    <w:qFormat/>
    <w:rPr>
      <w:i w:val="1"/>
      <w:iCs w:val="1"/>
      <w:color w:val="2F5496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2F5496" w:themeColor="accent1" w:themeShade="BF"/>
      <w:spacing w:val="5"/>
    </w:rPr>
  </w:style>
  <w:style w:type="character" w:styleId="C18">
    <w:name w:val="Footnote Reference"/>
    <w:semiHidden/>
    <w:rPr>
      <w:vertAlign w:val="superscript"/>
    </w:rPr>
  </w:style>
  <w:style w:type="character" w:styleId="C19">
    <w:name w:val="Footnote Text Char"/>
    <w:link w:val="P15"/>
    <w:semiHidden/>
    <w:rPr>
      <w:sz w:val="20"/>
      <w:szCs w:val="20"/>
    </w:rPr>
  </w:style>
  <w:style w:type="character" w:styleId="C20">
    <w:name w:val="Endnote Reference"/>
    <w:semiHidden/>
    <w:rPr>
      <w:vertAlign w:val="superscript"/>
    </w:rPr>
  </w:style>
  <w:style w:type="character" w:styleId="C21">
    <w:name w:val="Endnote Text Char"/>
    <w:link w:val="P16"/>
    <w:semiHidden/>
    <w:rPr>
      <w:sz w:val="20"/>
      <w:szCs w:val="20"/>
    </w:rPr>
  </w:style>
  <w:style w:type="table" w:styleId="T0" w:default="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qFormat/>
    <w:pPr>
      <w:spacing w:lineRule="auto" w:line="240" w:after="0" w:beforeAutospacing="0" w:afterAutospacing="0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HARISH K</dc:creator>
  <dcterms:created xsi:type="dcterms:W3CDTF">2025-07-18T15:37:28Z</dcterms:created>
  <cp:lastModifiedBy>chinna n</cp:lastModifiedBy>
  <dcterms:modified xsi:type="dcterms:W3CDTF">2025-07-18T15:37:28Z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1033-12.2.0.21546</vt:lpwstr>
  </property>
  <property fmtid="{D5CDD505-2E9C-101B-9397-08002B2CF9AE}" pid="3" name="ICV">
    <vt:lpwstr>435ECFACAF88472BA5FC077DCD3E036B_13</vt:lpwstr>
  </property>
</Properties>
</file>