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10939" w:type="dxa"/>
        <w:tblInd w:w="-955" w:type="dxa"/>
        <w:tblLayout w:type="autofit"/>
        <w:tblCellMar>
          <w:top w:w="376" w:type="dxa"/>
          <w:left w:w="955" w:type="dxa"/>
          <w:bottom w:w="0" w:type="dxa"/>
          <w:right w:w="940" w:type="dxa"/>
        </w:tblCellMar>
      </w:tblPr>
      <w:tblGrid>
        <w:gridCol w:w="10939"/>
      </w:tblGrid>
      <w:tr>
        <w:tblPrEx>
          <w:tblCellMar>
            <w:top w:w="376" w:type="dxa"/>
            <w:left w:w="955" w:type="dxa"/>
            <w:bottom w:w="0" w:type="dxa"/>
            <w:right w:w="940" w:type="dxa"/>
          </w:tblCellMar>
        </w:tblPrEx>
        <w:trPr>
          <w:trHeight w:hRule="atLeast" w:val="15871"/>
        </w:trPr>
        <w:tc>
          <w:tcPr>
            <w:tcW w:w="1093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spacing w:lineRule="auto" w:line="240" w:after="2" w:beforeAutospacing="0" w:afterAutospacing="0"/>
              <w:ind w:right="20"/>
              <w:jc w:val="center"/>
              <w:rPr>
                <w:sz w:val="24"/>
              </w:rPr>
            </w:pPr>
            <w:r>
              <w:rPr>
                <w:rFonts w:ascii="Arial" w:hAnsi="Arial" w:cs="Arial" w:eastAsia="Arial"/>
                <w:b w:val="1"/>
                <w:sz w:val="24"/>
              </w:rPr>
              <w:t xml:space="preserve">Requirement Gathering and Analysis Phase </w:t>
            </w:r>
          </w:p>
          <w:p>
            <w:pPr>
              <w:spacing w:lineRule="auto" w:line="240" w:after="0" w:beforeAutospacing="0" w:afterAutospacing="0"/>
              <w:ind w:right="17"/>
              <w:jc w:val="center"/>
              <w:rPr>
                <w:sz w:val="24"/>
              </w:rPr>
            </w:pPr>
            <w:r>
              <w:rPr>
                <w:b w:val="1"/>
                <w:sz w:val="24"/>
              </w:rPr>
              <w:t xml:space="preserve">Solution Architecture </w:t>
            </w:r>
          </w:p>
          <w:p>
            <w:pPr>
              <w:spacing w:lineRule="auto" w:line="240" w:after="0" w:beforeAutospacing="0" w:afterAutospacing="0"/>
              <w:ind w:left="32"/>
              <w:jc w:val="center"/>
              <w:rPr>
                <w:sz w:val="24"/>
              </w:rPr>
            </w:pPr>
            <w:r>
              <w:rPr>
                <w:b w:val="1"/>
                <w:sz w:val="22"/>
              </w:rPr>
              <w:t xml:space="preserve"> </w:t>
            </w:r>
          </w:p>
          <w:tbl>
            <w:tblPr>
              <w:tblStyle w:val="T2"/>
              <w:tblW w:w="9018" w:type="dxa"/>
              <w:tblInd w:w="5" w:type="dxa"/>
              <w:tblLayout w:type="autofit"/>
              <w:tblCellMar>
                <w:top w:w="48" w:type="dxa"/>
                <w:left w:w="108" w:type="dxa"/>
                <w:bottom w:w="0" w:type="dxa"/>
                <w:right w:w="115" w:type="dxa"/>
              </w:tblCellMar>
            </w:tblPr>
            <w:tblGrid>
              <w:gridCol w:w="4507"/>
              <w:gridCol w:w="4511"/>
            </w:tblGrid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78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25-06-25</w:t>
                  </w:r>
                </w:p>
              </w:tc>
            </w:tr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78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 w:eastAsia="SimSun" w:hint="default"/>
                      <w:i w:val="0"/>
                      <w:iCs w:val="0"/>
                      <w:caps w:val="0"/>
                      <w:color w:val="222222"/>
                      <w:sz w:val="21"/>
                      <w:szCs w:val="21"/>
                      <w:shd w:val="clear" w:color="auto" w:fill="FFFFFF"/>
                      <w:spacing w:val="0"/>
                    </w:rPr>
                    <w:t>LTVIP2025TMID59380</w:t>
                  </w:r>
                </w:p>
              </w:tc>
            </w:tr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78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r>
                    <w:rPr>
                      <w:sz w:val="22"/>
                    </w:rPr>
                    <w:t xml:space="preserve">Project – House Hunt using Mern </w:t>
                  </w:r>
                </w:p>
              </w:tc>
            </w:tr>
            <w:tr>
              <w:tblPrEx>
                <w:tblCellMar>
                  <w:top w:w="48" w:type="dxa"/>
                  <w:left w:w="108" w:type="dxa"/>
                  <w:bottom w:w="0" w:type="dxa"/>
                  <w:right w:w="115" w:type="dxa"/>
                </w:tblCellMar>
              </w:tblPrEx>
              <w:trPr>
                <w:trHeight w:hRule="atLeast" w:val="281"/>
              </w:trPr>
              <w:tc>
                <w:tcPr>
                  <w:tcW w:w="4508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bookmarkStart w:id="0" w:name="_GoBack" w:colFirst="0" w:colLast="0"/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shadow="0" w:frame="0" w:color="000000"/>
                    <w:left w:val="single" w:sz="4" w:space="0" w:shadow="0" w:frame="0" w:color="000000"/>
                    <w:bottom w:val="single" w:sz="4" w:space="0" w:shadow="0" w:frame="0" w:color="000000"/>
                    <w:right w:val="single" w:sz="4" w:space="0" w:shadow="0" w:frame="0" w:color="000000"/>
                  </w:tcBorders>
                </w:tcPr>
                <w:p>
                  <w:pPr>
                    <w:spacing w:lineRule="auto" w:line="240" w:after="0" w:beforeAutospacing="0" w:afterAutospacing="0"/>
                    <w:rPr>
                      <w:sz w:val="24"/>
                    </w:rPr>
                  </w:pPr>
                  <w:bookmarkEnd w:id="0"/>
                  <w:r>
                    <w:rPr>
                      <w:sz w:val="22"/>
                    </w:rPr>
                    <w:t xml:space="preserve">4 Marks </w:t>
                  </w:r>
                </w:p>
              </w:tc>
            </w:tr>
          </w:tbl>
          <w:p>
            <w:pPr>
              <w:spacing w:lineRule="auto" w:line="240" w:after="175" w:beforeAutospacing="0" w:afterAutospacing="0"/>
              <w:rPr>
                <w:sz w:val="24"/>
              </w:rPr>
            </w:pPr>
            <w:r>
              <w:rPr>
                <w:b w:val="1"/>
                <w:sz w:val="22"/>
              </w:rPr>
              <w:t xml:space="preserve"> </w:t>
            </w:r>
          </w:p>
          <w:p>
            <w:pPr>
              <w:spacing w:lineRule="auto" w:line="240" w:after="158" w:beforeAutospacing="0" w:afterAutospacing="0"/>
              <w:rPr>
                <w:sz w:val="24"/>
              </w:rPr>
            </w:pPr>
            <w:r>
              <w:rPr>
                <w:rFonts w:ascii="Arial" w:hAnsi="Arial" w:cs="Arial" w:eastAsia="Arial"/>
                <w:b w:val="1"/>
                <w:sz w:val="24"/>
              </w:rPr>
              <w:t xml:space="preserve">Solution Architecture: </w:t>
            </w:r>
          </w:p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The components of the file storage system are as follows:  </w:t>
            </w:r>
          </w:p>
          <w:p>
            <w:pPr>
              <w:numPr>
                <w:ilvl w:val="0"/>
                <w:numId w:val="1"/>
              </w:numPr>
              <w:spacing w:lineRule="auto" w:line="238" w:after="1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>Clients (Users):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 These are the people or programs that communicate with it to upload, download, manage, and view their data.  </w:t>
            </w:r>
          </w:p>
          <w:p>
            <w:pPr>
              <w:numPr>
                <w:ilvl w:val="0"/>
                <w:numId w:val="1"/>
              </w:numPr>
              <w:spacing w:lineRule="auto" w:line="238" w:after="1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>API Gateway: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 Serves as a single point of entry for web applications or clients' API requests.  </w:t>
            </w:r>
          </w:p>
          <w:p>
            <w:pPr>
              <w:spacing w:lineRule="auto" w:line="238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The Authentication Service manages user registration and login, and it issues tokens for safe access to storage features.  </w:t>
            </w:r>
          </w:p>
          <w:p>
            <w:pPr>
              <w:spacing w:lineRule="auto" w:line="238" w:after="1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The Authorization Service is responsible for determining the permissions of users to access and manage files and folders on the storage system.  </w:t>
            </w:r>
          </w:p>
          <w:p>
            <w:pPr>
              <w:numPr>
                <w:ilvl w:val="0"/>
                <w:numId w:val="1"/>
              </w:numPr>
              <w:spacing w:lineRule="auto" w:line="238" w:after="1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>Metadata Store: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 Holds details about files that have been uploaded, including names, sizes, timestamps, and sometimes user-defined tags or descriptions.  </w:t>
            </w:r>
          </w:p>
          <w:p>
            <w:pPr>
              <w:numPr>
                <w:ilvl w:val="0"/>
                <w:numId w:val="1"/>
              </w:numPr>
              <w:spacing w:lineRule="auto" w:line="238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</w:rPr>
              <w:t>Cloud Storage: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 The core mechanism for storing data that is actually saved on disk. This might be a distributed file system, an Azure Blob Storage account, or a cloud storage service (like Amazon S3).  </w:t>
            </w:r>
          </w:p>
          <w:p>
            <w:pPr>
              <w:spacing w:lineRule="auto" w:line="238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1"/>
                <w:sz w:val="24"/>
                <w:u w:val="single" w:color="000000"/>
              </w:rPr>
              <w:t>Interactions: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   Using API requests, clients communicate with the web application or the API Gateway directly.  </w:t>
            </w:r>
          </w:p>
          <w:p>
            <w:pPr>
              <w:numPr>
                <w:ilvl w:val="0"/>
                <w:numId w:val="1"/>
              </w:numPr>
              <w:spacing w:lineRule="auto" w:line="238" w:after="28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Requests are routed to the relevant backend services (authentication, authorization) via the API Gateway.  </w:t>
            </w:r>
          </w:p>
          <w:p>
            <w:pPr>
              <w:numPr>
                <w:ilvl w:val="0"/>
                <w:numId w:val="1"/>
              </w:numPr>
              <w:spacing w:lineRule="auto" w:line="238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Tokens for allowed access are provided by the Authentication Service, which also checks user credentials.  </w:t>
            </w:r>
          </w:p>
          <w:p>
            <w:pPr>
              <w:numPr>
                <w:ilvl w:val="0"/>
                <w:numId w:val="1"/>
              </w:numPr>
              <w:spacing w:lineRule="auto" w:line="238" w:after="17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The Authorization Service establishes whether a user is authorized to carry out the specified file activity (such as upload, download, or deletion).  </w:t>
            </w:r>
          </w:p>
          <w:p>
            <w:pPr>
              <w:numPr>
                <w:ilvl w:val="0"/>
                <w:numId w:val="1"/>
              </w:numPr>
              <w:spacing w:lineRule="auto" w:line="238" w:after="47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File uploads and downloads between clients and the object storage system are managed by the File Transfer Service.  </w:t>
            </w:r>
          </w:p>
          <w:p>
            <w:pPr>
              <w:numPr>
                <w:ilvl w:val="0"/>
                <w:numId w:val="1"/>
              </w:num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The metadata related to uploaded files is stored and retrieved via the Metadata Store. </w:t>
            </w:r>
          </w:p>
          <w:p>
            <w:pPr>
              <w:spacing w:lineRule="auto" w:line="240" w:after="0" w:beforeAutospacing="0" w:afterAutospacing="0"/>
              <w:rPr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  <w:p>
            <w:pPr>
              <w:spacing w:lineRule="auto" w:line="240" w:after="114" w:beforeAutospacing="0" w:afterAutospacing="0"/>
              <w:rPr>
                <w:sz w:val="24"/>
              </w:rPr>
            </w:pPr>
            <w:r>
              <w:rPr>
                <w:rFonts w:ascii="Arial" w:hAnsi="Arial" w:cs="Arial" w:eastAsia="Arial"/>
                <w:b w:val="1"/>
                <w:sz w:val="24"/>
              </w:rPr>
              <w:t>Solution Architecture Diagram</w:t>
            </w:r>
            <w:r>
              <w:rPr>
                <w:b w:val="1"/>
                <w:sz w:val="22"/>
              </w:rPr>
              <w:t xml:space="preserve">:  </w:t>
            </w:r>
          </w:p>
          <w:p>
            <w:pPr>
              <w:spacing w:lineRule="auto" w:line="240" w:after="0" w:beforeAutospacing="0" w:afterAutospacing="0"/>
              <w:ind w:right="1432"/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xmlns:wp="http://schemas.openxmlformats.org/drawingml/2006/wordprocessingDrawing" distT="0" distB="0" distL="0" distR="0">
                  <wp:extent cx="4795520" cy="2475865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0" cy="24763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1"/>
                <w:sz w:val="22"/>
              </w:rPr>
              <w:t xml:space="preserve"> </w:t>
            </w:r>
          </w:p>
        </w:tc>
      </w:tr>
    </w:tbl>
    <w:p>
      <w:pPr>
        <w:spacing w:after="0" w:beforeAutospacing="0" w:afterAutospacing="0"/>
        <w:ind w:left="-960" w:right="-96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51980" cy="1008380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609905" y="263652"/>
                            <a:ext cx="42145" cy="189937"/>
                          </a:xfrm>
                          <a:prstGeom prst="rect"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536183" y="3796768"/>
                            <a:ext cx="50674" cy="224381"/>
                          </a:xfrm>
                          <a:prstGeom prst="rect"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cs="Times New Roman" w:eastAsia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4136772"/>
                            <a:ext cx="42145" cy="189937"/>
                          </a:xfrm>
                          <a:prstGeom prst="rect"/>
                          <a:ln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97408"/>
                            <a:ext cx="5926457" cy="3333497"/>
                          </a:xfrm>
                          <a:prstGeom prst="rect"/>
                        </pic:spPr>
                      </pic:pic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6097" y="0"/>
                            <a:ext cx="6940296" cy="9144"/>
                          </a:xfrm>
                          <a:custGeom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6097"/>
                            <a:ext cx="9144" cy="10072116"/>
                          </a:xfrm>
                          <a:custGeom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946393" y="6097"/>
                            <a:ext cx="9144" cy="10072116"/>
                          </a:xfrm>
                          <a:custGeom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0" y="10078213"/>
                            <a:ext cx="9144" cy="9144"/>
                          </a:xfrm>
                          <a:custGeom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097" y="10078213"/>
                            <a:ext cx="6940296" cy="9144"/>
                          </a:xfrm>
                          <a:custGeom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6946393" y="10078213"/>
                            <a:ext cx="9144" cy="9144"/>
                          </a:xfrm>
                          <a:custGeom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1133" style="width:547.4pt;height:794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size="6952487,10084307" o:allowoverlap="f">
                <v:rect id="Rectangle 166" o:spid="_x0000_s1027" style="position:absolute;left:609904;top:263651;width:42144;height:189936" o:allowoverlap="f" stroked="f">
                  <v:textbox inset="0mm,0mm,0mm,0mm">
                    <w:txbxContent>
                      <w:p>
                        <w:r>
                          <w:rPr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8" style="position:absolute;left:6536182;top:3796767;width:50673;height:224380" o:allowoverlap="f" stroked="f">
                  <v:textbox inset="0mm,0mm,0mm,0mm">
                    <w:txbxContent>
                      <w:p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29" style="position:absolute;left:609904;top:4136771;width:42144;height:189936" o:allowoverlap="f" stroked="f">
                  <v:textbox inset="0mm,0mm,0mm,0mm">
                    <w:txbxContent>
                      <w:p>
                        <w:r>
                          <w:rPr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30" type="#_x0000_t75" style="position:absolute;left:609600;top:597407;width:5926456;height:3333496" o:preferrelative="t" stroked="f" o:allowoverlap="f">
                  <v:imagedata src="Relimage2" o:title=""/>
                </v:shape>
                <v:shape id="Shape 1477" o:spid="_x0000_s1031" style="position:absolute;width:9143;height:9143" o:allowoverlap="f" stroked="f" coordsize="9143,9143" path="m0,0l9144,,9144,9144,,9144,e"/>
                <v:shape id="Shape 1478" o:spid="_x0000_s1032" style="position:absolute;left:6096;width:6940295;height:9143" o:allowoverlap="f" stroked="f" coordsize="6940295,9143" path="m0,0l6940296,,6940296,9144,,9144,e"/>
                <v:shape id="Shape 1479" o:spid="_x0000_s1033" style="position:absolute;left:6946392;width:9143;height:9143" o:allowoverlap="f" stroked="f" coordsize="9143,9143" path="m0,0l9144,,9144,9144,,9144,e"/>
                <v:shape id="Shape 1480" o:spid="_x0000_s1034" style="position:absolute;top:6096;width:9143;height:10072115" o:allowoverlap="f" stroked="f" coordsize="9143,10072115" path="m0,0l9144,,9144,10072116,,10072116,e"/>
                <v:shape id="Shape 1481" o:spid="_x0000_s1035" style="position:absolute;left:6946392;top:6096;width:9143;height:10072115" o:allowoverlap="f" stroked="f" coordsize="9143,10072115" path="m0,0l9144,,9144,10072116,,10072116,e"/>
                <v:shape id="Shape 1482" o:spid="_x0000_s1036" style="position:absolute;top:10078212;width:9143;height:9143" o:allowoverlap="f" stroked="f" coordsize="9143,9143" path="m0,0l9144,,9144,9144,,9144,e"/>
                <v:shape id="Shape 1483" o:spid="_x0000_s1037" style="position:absolute;left:6096;top:10078212;width:6940295;height:9143" o:allowoverlap="f" stroked="f" coordsize="6940295,9143" path="m0,0l6940296,,6940296,9144,,9144,e"/>
                <v:shape id="Shape 1484" o:spid="_x0000_s1038" style="position:absolute;left:6946392;top:10078212;width:9143;height:9143" o:allowoverlap="f" stroked="f" coordsize="9143,9143" path="m0,0l9144,,9144,9144,,9144,e"/>
              </v:group>
            </w:pict>
          </mc:Fallback>
        </mc:AlternateContent>
      </w:r>
    </w:p>
    <w:p/>
    <w:sectPr>
      <w:footnotePr/>
      <w:endnotePr/>
      <w:type w:val="nextPage"/>
      <w:pgSz w:w="11906" w:h="16838" w:code="0"/>
      <w:pgMar w:left="1440" w:right="1440" w:top="1440" w:bottom="1440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beforeAutospacing="0" w:afterAutospacing="0"/>
      </w:pPr>
      <w:r>
        <w:separator/>
      </w:r>
    </w:p>
  </w:endnote>
  <w:endnote w:type="continuationSeparator" w:id="0">
    <w:p>
      <w:pPr>
        <w:spacing w:lineRule="auto" w:line="240" w:beforeAutospacing="0" w:afterAutospacing="0"/>
      </w:pPr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59" w:before="0" w:after="0" w:beforeAutospacing="0" w:afterAutospacing="0"/>
      </w:pPr>
      <w:r>
        <w:separator/>
      </w:r>
    </w:p>
  </w:footnote>
  <w:footnote w:type="continuationSeparator" w:id="0">
    <w:p>
      <w:pPr>
        <w:spacing w:lineRule="auto" w:line="259" w:before="0" w:after="0" w:beforeAutospacing="0" w:afterAutospacing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341B3119"/>
    <w:multiLevelType w:val="multilevel"/>
    <w:lvl w:ilvl="0">
      <w:start w:val="1"/>
      <w:numFmt w:val="bullet"/>
      <w:suff w:val="tab"/>
      <w:lvlText w:val="•"/>
      <w:lvlJc w:val="left"/>
      <w:pPr>
        <w:ind w:left="0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3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75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47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19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91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63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35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076"/>
      </w:pPr>
      <w:rPr>
        <w:rFonts w:ascii="Times New Roman" w:hAnsi="Times New Roman" w:cs="Times New Roman" w:eastAsia="Times New Roman"/>
        <w:b w:val="1"/>
        <w:i w:val="0"/>
        <w:bCs w:val="1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SimSun"/>
        <w:sz w:val="20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</w:pPr>
    <w:rPr>
      <w:rFonts w:ascii="Calibri" w:hAnsi="Calibri" w:cs="Calibri" w:eastAsia="Calibri"/>
      <w:color w:val="000000"/>
      <w:sz w:val="22"/>
      <w:szCs w:val="24"/>
      <w:kern w:val="2"/>
      <w:lang w:val="en-IN" w:bidi="ar-SA" w:eastAsia="en-IN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2F5496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2F5496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2F5496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62626" w:themeColor="text1" w:themeTint="D9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62626" w:themeColor="text1" w:themeTint="D9"/>
    </w:rPr>
  </w:style>
  <w:style w:type="paragraph" w:styleId="P10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1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2F5496" w:themeColor="accent1" w:themeShade="BF"/>
        <w:left w:val="none" w:sz="0" w:space="0" w:shadow="0" w:frame="0" w:color="auto"/>
        <w:bottom w:val="single" w:sz="4" w:space="10" w:shadow="0" w:frame="0" w:color="2F5496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2F5496" w:themeColor="accent1" w:themeShade="BF"/>
    </w:rPr>
  </w:style>
  <w:style w:type="paragraph" w:styleId="P15">
    <w:name w:val="Footnote Text"/>
    <w:link w:val="C19"/>
    <w:semiHidden/>
    <w:pPr>
      <w:spacing w:lineRule="auto" w:line="240" w:after="0"/>
    </w:pPr>
    <w:rPr>
      <w:sz w:val="20"/>
      <w:szCs w:val="20"/>
    </w:rPr>
  </w:style>
  <w:style w:type="paragraph" w:styleId="P16">
    <w:name w:val="Endnote Text"/>
    <w:link w:val="C21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qFormat/>
    <w:rPr>
      <w:rFonts w:asciiTheme="majorHAnsi" w:hAnsiTheme="majorHAnsi" w:cstheme="majorBidi" w:eastAsiaTheme="majorEastAsia"/>
      <w:color w:val="2F5496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qFormat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qFormat/>
    <w:rPr>
      <w:rFonts w:cstheme="majorBidi" w:eastAsiaTheme="majorEastAsia"/>
      <w:color w:val="2F5496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qFormat/>
    <w:rPr>
      <w:rFonts w:cstheme="majorBidi" w:eastAsiaTheme="majorEastAsia"/>
      <w:i w:val="1"/>
      <w:iCs w:val="1"/>
      <w:color w:val="2F5496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2F5496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qFormat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qFormat/>
    <w:rPr>
      <w:rFonts w:cstheme="majorBidi" w:eastAsiaTheme="majorEastAsia"/>
      <w:i w:val="1"/>
      <w:iCs w:val="1"/>
      <w:color w:val="262626" w:themeColor="text1" w:themeTint="D9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62626" w:themeColor="text1" w:themeTint="D9"/>
    </w:rPr>
  </w:style>
  <w:style w:type="character" w:styleId="C12">
    <w:name w:val="Title Char"/>
    <w:basedOn w:val="C0"/>
    <w:link w:val="P11"/>
    <w:qFormat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0"/>
    <w:qFormat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qFormat/>
    <w:rPr>
      <w:i w:val="1"/>
      <w:iCs w:val="1"/>
      <w:color w:val="404040" w:themeColor="text1" w:themeTint="BF"/>
    </w:rPr>
  </w:style>
  <w:style w:type="character" w:styleId="C15">
    <w:name w:val="Intense Emphasis1"/>
    <w:basedOn w:val="C0"/>
    <w:qFormat/>
    <w:rPr>
      <w:i w:val="1"/>
      <w:iCs w:val="1"/>
      <w:color w:val="2F5496" w:themeColor="accent1" w:themeShade="BF"/>
    </w:rPr>
  </w:style>
  <w:style w:type="character" w:styleId="C16">
    <w:name w:val="Intense Quote Char"/>
    <w:basedOn w:val="C0"/>
    <w:link w:val="P14"/>
    <w:qFormat/>
    <w:rPr>
      <w:i w:val="1"/>
      <w:iCs w:val="1"/>
      <w:color w:val="2F5496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2F5496" w:themeColor="accent1" w:themeShade="BF"/>
      <w:spacing w:val="5"/>
    </w:rPr>
  </w:style>
  <w:style w:type="character" w:styleId="C18">
    <w:name w:val="Footnote Reference"/>
    <w:semiHidden/>
    <w:rPr>
      <w:vertAlign w:val="superscript"/>
    </w:rPr>
  </w:style>
  <w:style w:type="character" w:styleId="C19">
    <w:name w:val="Footnote Text Char"/>
    <w:link w:val="P15"/>
    <w:semiHidden/>
    <w:rPr>
      <w:sz w:val="20"/>
      <w:szCs w:val="20"/>
    </w:rPr>
  </w:style>
  <w:style w:type="character" w:styleId="C20">
    <w:name w:val="Endnote Reference"/>
    <w:semiHidden/>
    <w:rPr>
      <w:vertAlign w:val="superscript"/>
    </w:rPr>
  </w:style>
  <w:style w:type="character" w:styleId="C21">
    <w:name w:val="Endnote Text Char"/>
    <w:link w:val="P16"/>
    <w:semiHidden/>
    <w:rPr>
      <w:sz w:val="20"/>
      <w:szCs w:val="20"/>
    </w:rPr>
  </w:style>
  <w:style w:type="table" w:styleId="T0" w:default="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qFormat/>
    <w:pPr>
      <w:spacing w:lineRule="auto" w:line="240" w:after="0" w:beforeAutospacing="0" w:afterAutospacing="0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HARISH K</dc:creator>
  <dcterms:created xsi:type="dcterms:W3CDTF">2025-07-18T15:38:19Z</dcterms:created>
  <cp:lastModifiedBy>chinna n</cp:lastModifiedBy>
  <dcterms:modified xsi:type="dcterms:W3CDTF">2025-07-18T15:38:19Z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74EF50009471482889012DA66552097B_13</vt:lpwstr>
  </property>
</Properties>
</file>