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10939" w:type="dxa"/>
        <w:tblInd w:w="-955" w:type="dxa"/>
        <w:tblLayout w:type="autofit"/>
        <w:tblCellMar>
          <w:top w:w="376" w:type="dxa"/>
          <w:left w:w="956" w:type="dxa"/>
          <w:bottom w:w="0" w:type="dxa"/>
          <w:right w:w="115" w:type="dxa"/>
        </w:tblCellMar>
      </w:tblPr>
      <w:tblGrid>
        <w:gridCol w:w="10939"/>
      </w:tblGrid>
      <w:tr>
        <w:tblPrEx>
          <w:tblCellMar>
            <w:top w:w="376" w:type="dxa"/>
            <w:left w:w="956" w:type="dxa"/>
            <w:bottom w:w="0" w:type="dxa"/>
            <w:right w:w="115" w:type="dxa"/>
          </w:tblCellMar>
        </w:tblPrEx>
        <w:trPr>
          <w:trHeight w:hRule="atLeast" w:val="15871"/>
        </w:trPr>
        <w:tc>
          <w:tcPr>
            <w:tcW w:w="109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2" w:beforeAutospacing="0" w:afterAutospacing="0"/>
              <w:ind w:right="846"/>
              <w:jc w:val="center"/>
              <w:rPr>
                <w:sz w:val="24"/>
              </w:rPr>
            </w:pPr>
            <w:r>
              <w:rPr>
                <w:rFonts w:ascii="Arial" w:hAnsi="Arial" w:cs="Arial" w:eastAsia="Arial"/>
                <w:b w:val="1"/>
                <w:sz w:val="24"/>
              </w:rPr>
              <w:t xml:space="preserve">Requirement Gathering and Analysis Phase </w:t>
            </w:r>
          </w:p>
          <w:p>
            <w:pPr>
              <w:spacing w:lineRule="auto" w:line="240" w:after="0" w:beforeAutospacing="0" w:afterAutospacing="0"/>
              <w:ind w:right="842"/>
              <w:jc w:val="center"/>
              <w:rPr>
                <w:sz w:val="24"/>
              </w:rPr>
            </w:pPr>
            <w:r>
              <w:rPr>
                <w:b w:val="1"/>
                <w:sz w:val="24"/>
              </w:rPr>
              <w:t xml:space="preserve">Solution Requirements (Functional &amp; Non-functional) </w:t>
            </w:r>
          </w:p>
          <w:p>
            <w:pPr>
              <w:spacing w:lineRule="auto" w:line="240" w:after="0" w:beforeAutospacing="0" w:afterAutospacing="0"/>
              <w:ind w:right="793"/>
              <w:jc w:val="center"/>
              <w:rPr>
                <w:sz w:val="24"/>
              </w:rPr>
            </w:pPr>
            <w:r>
              <w:rPr>
                <w:b w:val="1"/>
                <w:sz w:val="22"/>
              </w:rPr>
              <w:t xml:space="preserve"> </w:t>
            </w:r>
          </w:p>
          <w:tbl>
            <w:tblPr>
              <w:tblStyle w:val="T2"/>
              <w:tblW w:w="9352" w:type="dxa"/>
              <w:tblInd w:w="5" w:type="dxa"/>
              <w:tblLayout w:type="autofit"/>
              <w:tblCellMar>
                <w:top w:w="48" w:type="dxa"/>
                <w:left w:w="108" w:type="dxa"/>
                <w:bottom w:w="0" w:type="dxa"/>
                <w:right w:w="115" w:type="dxa"/>
              </w:tblCellMar>
            </w:tblPr>
            <w:tblGrid>
              <w:gridCol w:w="4508"/>
              <w:gridCol w:w="4844"/>
            </w:tblGrid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84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>25-06-2025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84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SimSun" w:hint="default"/>
                      <w:i w:val="0"/>
                      <w:iCs w:val="0"/>
                      <w:caps w:val="0"/>
                      <w:color w:val="222222"/>
                      <w:sz w:val="22"/>
                      <w:szCs w:val="22"/>
                      <w:shd w:val="clear" w:color="auto" w:fill="FFFFFF"/>
                      <w:spacing w:val="0"/>
                    </w:rPr>
                    <w:t>LTVIP2025TMID59380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84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House Hunt  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81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84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>50 Marks</w:t>
                  </w:r>
                </w:p>
              </w:tc>
            </w:tr>
          </w:tbl>
          <w:p>
            <w:pPr>
              <w:spacing w:lineRule="auto" w:line="240" w:after="172" w:beforeAutospacing="0" w:afterAutospacing="0"/>
              <w:rPr>
                <w:sz w:val="24"/>
              </w:rPr>
            </w:pPr>
            <w:r>
              <w:rPr>
                <w:b w:val="1"/>
                <w:sz w:val="22"/>
              </w:rPr>
              <w:t xml:space="preserve"> </w:t>
            </w:r>
          </w:p>
          <w:p>
            <w:pPr>
              <w:spacing w:lineRule="auto" w:line="240" w:after="158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 xml:space="preserve">Functional Requirements: </w:t>
            </w:r>
          </w:p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Following are the functional requirements of the proposed solution. </w:t>
            </w:r>
          </w:p>
          <w:tbl>
            <w:tblPr>
              <w:tblStyle w:val="T2"/>
              <w:tblW w:w="9326" w:type="dxa"/>
              <w:tblInd w:w="5" w:type="dxa"/>
              <w:tblLayout w:type="autofit"/>
              <w:tblCellMar>
                <w:top w:w="14" w:type="dxa"/>
                <w:left w:w="108" w:type="dxa"/>
                <w:bottom w:w="0" w:type="dxa"/>
                <w:right w:w="115" w:type="dxa"/>
              </w:tblCellMar>
            </w:tblPr>
            <w:tblGrid>
              <w:gridCol w:w="926"/>
              <w:gridCol w:w="3149"/>
              <w:gridCol w:w="5251"/>
            </w:tblGrid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562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FR No.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Functional Requirement (Epic)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Sub Requirement (Story / Sub-Task)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838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FR-1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User Registration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Registration through Form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Registration through Gmail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Registration through LinkedIN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562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FR-2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User Confirmation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ind w:right="1393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Confirmation via Email Confirmation via OTP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838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FR-3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Profile Management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Update Personal Information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Change Password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Set Preferences for Notifications and Alerts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1390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FR-4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Browsing and searching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Basic Search and Filters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Map View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Favourites and Shortlists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Market Trends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Nearby Amenities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1114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FR-5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Communication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Messaging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Appointment Scheduling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Document Sharing 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Transaction Updates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1116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FR-6 </w:t>
                  </w:r>
                </w:p>
              </w:tc>
              <w:tc>
                <w:tcPr>
                  <w:tcW w:w="3149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Property Listing </w:t>
                  </w:r>
                </w:p>
              </w:tc>
              <w:tc>
                <w:tcPr>
                  <w:tcW w:w="5250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Upload Photos and Videos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Add Property Features and Amenities </w:t>
                  </w:r>
                </w:p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Provide Legal and Disclosure Information Negotiate Offers </w:t>
                  </w:r>
                </w:p>
              </w:tc>
            </w:tr>
          </w:tbl>
          <w:p>
            <w:pPr>
              <w:spacing w:lineRule="auto" w:line="240" w:after="156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 xml:space="preserve"> </w:t>
            </w:r>
          </w:p>
          <w:p>
            <w:pPr>
              <w:spacing w:lineRule="auto" w:line="240" w:after="158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 xml:space="preserve"> </w:t>
            </w:r>
          </w:p>
          <w:p>
            <w:pPr>
              <w:spacing w:lineRule="auto" w:line="240" w:after="158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 xml:space="preserve">Non-functional Requirements: </w:t>
            </w:r>
          </w:p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Following are the non-functional requirements of the proposed solution. </w:t>
            </w:r>
          </w:p>
          <w:tbl>
            <w:tblPr>
              <w:tblStyle w:val="T2"/>
              <w:tblW w:w="9326" w:type="dxa"/>
              <w:tblInd w:w="5" w:type="dxa"/>
              <w:tblLayout w:type="autofit"/>
              <w:tblCellMar>
                <w:top w:w="14" w:type="dxa"/>
                <w:left w:w="108" w:type="dxa"/>
                <w:bottom w:w="0" w:type="dxa"/>
                <w:right w:w="91" w:type="dxa"/>
              </w:tblCellMar>
            </w:tblPr>
            <w:tblGrid>
              <w:gridCol w:w="926"/>
              <w:gridCol w:w="2045"/>
              <w:gridCol w:w="6355"/>
            </w:tblGrid>
            <w:tr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hRule="atLeast" w:val="562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FR No. </w:t>
                  </w:r>
                </w:p>
              </w:tc>
              <w:tc>
                <w:tcPr>
                  <w:tcW w:w="2045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Non-Functional Requirement </w:t>
                  </w:r>
                </w:p>
              </w:tc>
              <w:tc>
                <w:tcPr>
                  <w:tcW w:w="635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 xml:space="preserve">Description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hRule="atLeast" w:val="838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NFR-1 </w:t>
                  </w:r>
                </w:p>
              </w:tc>
              <w:tc>
                <w:tcPr>
                  <w:tcW w:w="2045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>Usability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Usability ensures a smooth experience by providing intuitive navigation, effective search functionality, and detailed property information </w:t>
                  </w:r>
                </w:p>
              </w:tc>
            </w:tr>
            <w:tr>
              <w:tblPrEx>
                <w:tblCellMar>
                  <w:top w:w="14" w:type="dxa"/>
                  <w:left w:w="108" w:type="dxa"/>
                  <w:bottom w:w="0" w:type="dxa"/>
                  <w:right w:w="91" w:type="dxa"/>
                </w:tblCellMar>
              </w:tblPrEx>
              <w:trPr>
                <w:trHeight w:hRule="atLeast" w:val="838"/>
              </w:trPr>
              <w:tc>
                <w:tcPr>
                  <w:tcW w:w="926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jc w:val="both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NFR-2 </w:t>
                  </w:r>
                </w:p>
              </w:tc>
              <w:tc>
                <w:tcPr>
                  <w:tcW w:w="2045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1"/>
                      <w:sz w:val="24"/>
                    </w:rPr>
                    <w:t>Security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354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</w:rPr>
                    <w:t xml:space="preserve">House hunt app typically ensures security by encrypting users' sensitive information, such as personal details, financial data, and search preferences, to prevent unauthorized access. </w:t>
                  </w:r>
                </w:p>
              </w:tc>
            </w:tr>
          </w:tbl>
          <w:p>
            <w:pPr>
              <w:spacing w:lineRule="auto" w:line="240" w:after="0" w:beforeAutospacing="0" w:afterAutospacing="0"/>
              <w:rPr>
                <w:sz w:val="24"/>
              </w:rPr>
            </w:pPr>
          </w:p>
        </w:tc>
      </w:tr>
    </w:tbl>
    <w:p>
      <w:bookmarkStart w:id="0" w:name="_GoBack"/>
      <w:bookmarkEnd w:id="0"/>
    </w:p>
    <w:sectPr>
      <w:footnotePr/>
      <w:endnotePr/>
      <w:type w:val="nextPage"/>
      <w:pgSz w:w="11906" w:h="16838" w:code="0"/>
      <w:pgMar w:left="1440" w:right="1440" w:top="1440" w:bottom="1440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beforeAutospacing="0" w:afterAutospacing="0"/>
      </w:pPr>
      <w:r>
        <w:separator/>
      </w:r>
    </w:p>
  </w:endnote>
  <w:endnote w:type="continuationSeparator" w:id="0">
    <w:p>
      <w:pPr>
        <w:spacing w:lineRule="auto" w:line="24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59" w:before="0" w:after="0" w:beforeAutospacing="0" w:afterAutospacing="0"/>
      </w:pPr>
      <w:r>
        <w:separator/>
      </w:r>
    </w:p>
  </w:footnote>
  <w:footnote w:type="continuationSeparator" w:id="0">
    <w:p>
      <w:pPr>
        <w:spacing w:lineRule="auto" w:line="259" w:before="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rFonts w:ascii="Calibri" w:hAnsi="Calibri" w:cs="Calibri" w:eastAsia="Calibri"/>
      <w:color w:val="000000"/>
      <w:sz w:val="22"/>
      <w:szCs w:val="24"/>
      <w:kern w:val="2"/>
      <w:lang w:val="en-IN" w:bidi="ar-SA" w:eastAsia="en-IN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  <w:lang w:eastAsia="en-US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  <w:lang w:eastAsia="en-US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asciiTheme="minorHAnsi" w:hAnsiTheme="minorHAnsi" w:cstheme="majorBidi" w:eastAsiaTheme="majorEastAsia"/>
      <w:color w:val="2F5496" w:themeColor="accent1" w:themeShade="BF"/>
      <w:sz w:val="28"/>
      <w:szCs w:val="28"/>
      <w:lang w:eastAsia="en-US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asciiTheme="minorHAnsi" w:hAnsiTheme="minorHAnsi" w:cstheme="majorBidi" w:eastAsiaTheme="majorEastAsia"/>
      <w:i w:val="1"/>
      <w:iCs w:val="1"/>
      <w:color w:val="2F5496" w:themeColor="accent1" w:themeShade="BF"/>
      <w:szCs w:val="22"/>
      <w:lang w:eastAsia="en-US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asciiTheme="minorHAnsi" w:hAnsiTheme="minorHAnsi" w:cstheme="majorBidi" w:eastAsiaTheme="majorEastAsia"/>
      <w:color w:val="2F5496" w:themeColor="accent1" w:themeShade="BF"/>
      <w:szCs w:val="22"/>
      <w:lang w:eastAsia="en-US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asciiTheme="minorHAnsi" w:hAnsiTheme="minorHAnsi" w:cstheme="majorBidi" w:eastAsiaTheme="majorEastAsia"/>
      <w:i w:val="1"/>
      <w:iCs w:val="1"/>
      <w:color w:val="595959" w:themeColor="text1" w:themeTint="A6"/>
      <w:szCs w:val="22"/>
      <w:lang w:eastAsia="en-US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asciiTheme="minorHAnsi" w:hAnsiTheme="minorHAnsi" w:cstheme="majorBidi" w:eastAsiaTheme="majorEastAsia"/>
      <w:color w:val="595959" w:themeColor="text1" w:themeTint="A6"/>
      <w:szCs w:val="22"/>
      <w:lang w:eastAsia="en-US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asciiTheme="minorHAnsi" w:hAnsiTheme="minorHAnsi" w:cstheme="majorBidi" w:eastAsiaTheme="majorEastAsia"/>
      <w:i w:val="1"/>
      <w:iCs w:val="1"/>
      <w:color w:val="262626" w:themeColor="text1" w:themeTint="D9"/>
      <w:szCs w:val="22"/>
      <w:lang w:eastAsia="en-US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asciiTheme="minorHAnsi" w:hAnsiTheme="minorHAnsi" w:cstheme="majorBidi" w:eastAsiaTheme="majorEastAsia"/>
      <w:color w:val="262626" w:themeColor="text1" w:themeTint="D9"/>
      <w:szCs w:val="22"/>
      <w:lang w:eastAsia="en-US"/>
    </w:rPr>
  </w:style>
  <w:style w:type="paragraph" w:styleId="P10">
    <w:name w:val="Subtitle"/>
    <w:basedOn w:val="P0"/>
    <w:next w:val="P0"/>
    <w:link w:val="C13"/>
    <w:qFormat/>
    <w:pPr/>
    <w:rPr>
      <w:rFonts w:asciiTheme="minorHAnsi" w:hAnsiTheme="minorHAnsi" w:cstheme="majorBidi" w:eastAsiaTheme="majorEastAsia"/>
      <w:color w:val="595959" w:themeColor="text1" w:themeTint="A6"/>
      <w:sz w:val="28"/>
      <w:szCs w:val="28"/>
      <w:spacing w:val="15"/>
      <w:lang w:eastAsia="en-US"/>
    </w:rPr>
  </w:style>
  <w:style w:type="paragraph" w:styleId="P11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color w:val="auto"/>
      <w:sz w:val="56"/>
      <w:szCs w:val="56"/>
      <w:spacing w:val="-10"/>
      <w:kern w:val="28"/>
      <w:lang w:eastAsia="en-US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rFonts w:asciiTheme="minorHAnsi" w:hAnsiTheme="minorHAnsi" w:cstheme="minorBidi" w:eastAsiaTheme="minorHAnsi"/>
      <w:i w:val="1"/>
      <w:iCs w:val="1"/>
      <w:color w:val="404040" w:themeColor="text1" w:themeTint="BF"/>
      <w:szCs w:val="22"/>
      <w:lang w:eastAsia="en-US"/>
    </w:rPr>
  </w:style>
  <w:style w:type="paragraph" w:styleId="P13">
    <w:name w:val="List Paragraph"/>
    <w:basedOn w:val="P0"/>
    <w:qFormat/>
    <w:pPr>
      <w:ind w:left="720"/>
      <w:contextualSpacing w:val="1"/>
    </w:pPr>
    <w:rPr>
      <w:rFonts w:asciiTheme="minorHAnsi" w:hAnsiTheme="minorHAnsi" w:cstheme="minorBidi" w:eastAsiaTheme="minorHAnsi"/>
      <w:color w:val="auto"/>
      <w:szCs w:val="22"/>
      <w:lang w:eastAsia="en-US"/>
    </w:rPr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rFonts w:asciiTheme="minorHAnsi" w:hAnsiTheme="minorHAnsi" w:cstheme="minorBidi" w:eastAsiaTheme="minorHAnsi"/>
      <w:i w:val="1"/>
      <w:iCs w:val="1"/>
      <w:color w:val="2F5496" w:themeColor="accent1" w:themeShade="BF"/>
      <w:szCs w:val="22"/>
      <w:lang w:eastAsia="en-US"/>
    </w:rPr>
  </w:style>
  <w:style w:type="paragraph" w:styleId="P15">
    <w:name w:val="Footnote Text"/>
    <w:link w:val="C19"/>
    <w:semiHidden/>
    <w:pPr>
      <w:spacing w:lineRule="auto" w:line="240" w:after="0"/>
    </w:pPr>
    <w:rPr>
      <w:sz w:val="20"/>
      <w:szCs w:val="20"/>
    </w:rPr>
  </w:style>
  <w:style w:type="paragraph" w:styleId="P16">
    <w:name w:val="Endnote Text"/>
    <w:link w:val="C2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qFormat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qFormat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qFormat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qFormat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qFormat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qFormat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qFormat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qFormat/>
    <w:rPr>
      <w:rFonts w:cstheme="majorBidi" w:eastAsiaTheme="majorEastAsia"/>
      <w:i w:val="1"/>
      <w:iCs w:val="1"/>
      <w:color w:val="262626" w:themeColor="text1" w:themeTint="D9"/>
    </w:rPr>
  </w:style>
  <w:style w:type="character" w:styleId="C11">
    <w:name w:val="Heading 9 Char"/>
    <w:basedOn w:val="C0"/>
    <w:link w:val="P9"/>
    <w:semiHidden/>
    <w:qFormat/>
    <w:rPr>
      <w:rFonts w:cstheme="majorBidi" w:eastAsiaTheme="majorEastAsia"/>
      <w:color w:val="262626" w:themeColor="text1" w:themeTint="D9"/>
    </w:rPr>
  </w:style>
  <w:style w:type="character" w:styleId="C12">
    <w:name w:val="Title Char"/>
    <w:basedOn w:val="C0"/>
    <w:link w:val="P11"/>
    <w:qFormat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0"/>
    <w:qFormat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qFormat/>
    <w:rPr>
      <w:i w:val="1"/>
      <w:iCs w:val="1"/>
      <w:color w:val="404040" w:themeColor="text1" w:themeTint="BF"/>
    </w:rPr>
  </w:style>
  <w:style w:type="character" w:styleId="C15">
    <w:name w:val="Intense Emphasis1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qFormat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character" w:styleId="C18">
    <w:name w:val="Footnote Reference"/>
    <w:semiHidden/>
    <w:rPr>
      <w:vertAlign w:val="superscript"/>
    </w:rPr>
  </w:style>
  <w:style w:type="character" w:styleId="C19">
    <w:name w:val="Footnote Text Char"/>
    <w:link w:val="P15"/>
    <w:semiHidden/>
    <w:rPr>
      <w:sz w:val="20"/>
      <w:szCs w:val="20"/>
    </w:rPr>
  </w:style>
  <w:style w:type="character" w:styleId="C20">
    <w:name w:val="Endnote Reference"/>
    <w:semiHidden/>
    <w:rPr>
      <w:vertAlign w:val="superscript"/>
    </w:rPr>
  </w:style>
  <w:style w:type="character" w:styleId="C21">
    <w:name w:val="Endnote Text Char"/>
    <w:link w:val="P16"/>
    <w:semiHidden/>
    <w:rPr>
      <w:sz w:val="20"/>
      <w:szCs w:val="20"/>
    </w:rPr>
  </w:style>
  <w:style w:type="table" w:styleId="T0" w:default="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qFormat/>
    <w:pPr>
      <w:spacing w:lineRule="auto" w:line="240" w:after="0" w:beforeAutospacing="0" w:afterAutospacing="0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HARISH K</dc:creator>
  <dcterms:created xsi:type="dcterms:W3CDTF">2025-07-18T15:41:00Z</dcterms:created>
  <cp:lastModifiedBy>chinna n</cp:lastModifiedBy>
  <dcterms:modified xsi:type="dcterms:W3CDTF">2025-07-18T15:41:00Z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911476DF92284B2880F5DE448C4BBE96_13</vt:lpwstr>
  </property>
</Properties>
</file>