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200"/>
              <w:left w:type="dxa" w:w="280"/>
              <w:bottom w:type="dxa" w:w="200"/>
              <w:right w:type="dxa" w:w="280"/>
            </w:tcMar>
          </w:tcPr>
          <w:p>
            <w:pPr>
              <w:spacing w:after="60" w:before="160"/>
              <w:jc w:val="center"/>
            </w:pPr>
            <w:r>
              <w:rPr>
                <w:rFonts w:ascii="Arial" w:cs="Arial" w:eastAsia="Arial" w:hAnsi="Arial"/>
                <w:b/>
                <w:bCs/>
                <w:color w:val="1F3D7A"/>
                <w:sz w:val="52"/>
                <w:szCs w:val="52"/>
              </w:rPr>
              <w:t xml:space="preserve">END-TO-END SUPPLY CHAIN</w:t>
            </w:r>
          </w:p>
          <w:p>
            <w:pPr>
              <w:spacing w:after="60" w:before="0"/>
              <w:jc w:val="center"/>
            </w:pPr>
            <w:r>
              <w:rPr>
                <w:rFonts w:ascii="Arial" w:cs="Arial" w:eastAsia="Arial" w:hAnsi="Arial"/>
                <w:b/>
                <w:bCs/>
                <w:color w:val="2E75B6"/>
                <w:sz w:val="52"/>
                <w:szCs w:val="52"/>
              </w:rPr>
              <w:t xml:space="preserve">ANALYTICS PROJECT REPORT</w:t>
            </w:r>
          </w:p>
          <w:p>
            <w:pPr>
              <w:spacing w:after="80" w:before="60"/>
              <w:jc w:val="center"/>
            </w:pPr>
            <w:r>
              <w:rPr>
                <w:rFonts w:ascii="Arial" w:cs="Arial" w:eastAsia="Arial" w:hAnsi="Arial"/>
                <w:b/>
                <w:bCs/>
                <w:color w:val="C9A84C"/>
                <w:sz w:val="26"/>
                <w:szCs w:val="26"/>
              </w:rPr>
              <w:t xml:space="preserve">Indian Fashion Retail Industry  |  FY 2022 - 2023</w:t>
            </w:r>
          </w:p>
          <w:p>
            <w:pPr>
              <w:spacing w:after="160" w:before="40"/>
              <w:jc w:val="center"/>
            </w:pPr>
            <w:r>
              <w:rPr>
                <w:rFonts w:ascii="Arial" w:cs="Arial" w:eastAsia="Arial" w:hAnsi="Arial"/>
                <w:i/>
                <w:iCs/>
                <w:color w:val="555555"/>
                <w:sz w:val="22"/>
                <w:szCs w:val="22"/>
              </w:rPr>
              <w:t xml:space="preserve">Python EDA  •  SQL Analysis  •  Power BI Dashboard</w:t>
            </w:r>
          </w:p>
        </w:tc>
      </w:tr>
    </w:tbl>
    <w:p>
      <w:pPr>
        <w:spacing w:after="160" w:before="0"/>
      </w:pPr>
    </w:p>
    <w:p>
      <w:pPr>
        <w:pStyle w:val="Heading1"/>
        <w:pBdr>
          <w:bottom w:val="single" w:color="2E75B6" w:sz="6" w:space="6"/>
        </w:pBdr>
        <w:spacing w:after="120" w:before="360"/>
      </w:pPr>
      <w:r>
        <w:rPr>
          <w:rFonts w:ascii="Arial" w:cs="Arial" w:eastAsia="Arial" w:hAnsi="Arial"/>
          <w:b/>
          <w:bCs/>
          <w:color w:val="1F3D7A"/>
          <w:sz w:val="36"/>
          <w:szCs w:val="36"/>
        </w:rPr>
        <w:t xml:space="preserve">EXECUTIVE SUMMARY</w:t>
      </w:r>
    </w:p>
    <w:p>
      <w:pPr>
        <w:spacing w:after="100" w:before="60"/>
      </w:pPr>
      <w:r>
        <w:rPr>
          <w:rFonts w:ascii="Arial" w:cs="Arial" w:eastAsia="Arial" w:hAnsi="Arial"/>
          <w:b w:val="false"/>
          <w:bCs w:val="false"/>
          <w:i w:val="false"/>
          <w:iCs w:val="false"/>
          <w:color w:val="222222"/>
          <w:sz w:val="22"/>
          <w:szCs w:val="22"/>
        </w:rPr>
        <w:t xml:space="preserve">This report presents a comprehensive analysis of the Fashion Supply Chain dataset covering 10 major Indian fashion retail companies, 8 warehouse locations, and 5 product categories across a 2-year period (January 2022 to December 2023). The project addresses critical operational pain points in demand forecasting, inventory management, and revenue performance using Python (EDA), SQL (Advanced Queries), and Power BI (Dashboard).</w:t>
      </w:r>
    </w:p>
    <w:p>
      <w:pPr>
        <w:spacing w:after="160" w:before="0"/>
      </w:pPr>
    </w:p>
    <w:p>
      <w:pPr>
        <w:pStyle w:val="Heading1"/>
        <w:pBdr>
          <w:bottom w:val="single" w:color="2E75B6" w:sz="6" w:space="6"/>
        </w:pBdr>
        <w:spacing w:after="120" w:before="360"/>
      </w:pPr>
      <w:r>
        <w:rPr>
          <w:rFonts w:ascii="Arial" w:cs="Arial" w:eastAsia="Arial" w:hAnsi="Arial"/>
          <w:b/>
          <w:bCs/>
          <w:color w:val="1F3D7A"/>
          <w:sz w:val="36"/>
          <w:szCs w:val="36"/>
        </w:rPr>
        <w:t xml:space="preserve">STAR FRAMEWORK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5276"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S</w:t>
            </w:r>
          </w:p>
        </w:tc>
        <w:tc>
          <w:tcPr>
            <w:tcW w:type="dxa" w:w="8360"/>
            <w:tcBorders>
              <w:top w:val="none" w:color="FFFFFF" w:sz="0"/>
              <w:left w:val="none" w:color="FFFFFF" w:sz="0"/>
              <w:bottom w:val="none" w:color="FFFFFF" w:sz="0"/>
              <w:right w:val="none" w:color="FFFFFF" w:sz="0"/>
            </w:tcBorders>
            <w:shd w:fill="FAFAFA" w:val="clear"/>
            <w:tcMar>
              <w:top w:type="dxa" w:w="200"/>
              <w:left w:type="dxa" w:w="200"/>
              <w:bottom w:type="dxa" w:w="200"/>
              <w:right w:type="dxa" w:w="200"/>
            </w:tcMar>
          </w:tcPr>
          <w:p>
            <w:r>
              <w:rPr>
                <w:rFonts w:ascii="Arial" w:cs="Arial" w:eastAsia="Arial" w:hAnsi="Arial"/>
                <w:b/>
                <w:bCs/>
                <w:color w:val="1A5276"/>
                <w:sz w:val="28"/>
                <w:szCs w:val="28"/>
              </w:rPr>
              <w:t xml:space="preserve">SITUATION</w:t>
            </w:r>
          </w:p>
        </w:tc>
      </w:tr>
    </w:tbl>
    <w:p>
      <w:pPr>
        <w:spacing w:after="160" w:before="0"/>
      </w:pPr>
    </w:p>
    <w:p>
      <w:pPr>
        <w:pStyle w:val="Heading2"/>
        <w:spacing w:after="100" w:before="240"/>
      </w:pPr>
      <w:r>
        <w:rPr>
          <w:rFonts w:ascii="Arial" w:cs="Arial" w:eastAsia="Arial" w:hAnsi="Arial"/>
          <w:b/>
          <w:bCs/>
          <w:color w:val="2E75B6"/>
          <w:sz w:val="28"/>
          <w:szCs w:val="28"/>
        </w:rPr>
        <w:t xml:space="preserve">Business Context &amp; Problem Statement</w:t>
      </w:r>
    </w:p>
    <w:p>
      <w:pPr>
        <w:spacing w:after="100" w:before="60"/>
      </w:pPr>
      <w:r>
        <w:rPr>
          <w:rFonts w:ascii="Arial" w:cs="Arial" w:eastAsia="Arial" w:hAnsi="Arial"/>
          <w:b w:val="false"/>
          <w:bCs w:val="false"/>
          <w:i w:val="false"/>
          <w:iCs w:val="false"/>
          <w:color w:val="222222"/>
          <w:sz w:val="22"/>
          <w:szCs w:val="22"/>
        </w:rPr>
        <w:t xml:space="preserve">The Indian fashion retail industry operates under complex supply chain conditions with multiple companies managing large inventories across geographically distributed warehouses. Key business challenges identified were: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200"/>
              <w:left w:type="dxa" w:w="280"/>
              <w:bottom w:type="dxa" w:w="200"/>
              <w:right w:type="dxa" w:w="280"/>
            </w:tcMar>
          </w:tcPr>
          <w:p>
            <w:pPr>
              <w:spacing w:after="60" w:before="100"/>
            </w:pPr>
            <w:r>
              <w:rPr>
                <w:rFonts w:ascii="Arial" w:cs="Arial" w:eastAsia="Arial" w:hAnsi="Arial"/>
                <w:b/>
                <w:bCs/>
                <w:color w:val="1F3D7A"/>
                <w:sz w:val="24"/>
                <w:szCs w:val="24"/>
              </w:rPr>
              <w:t xml:space="preserve">Core Business Problems:</w:t>
            </w:r>
          </w:p>
          <w:p>
            <w:pPr>
              <w:pStyle w:val="ListParagraph"/>
              <w:numPr>
                <w:ilvl w:val="0"/>
                <w:numId w:val="2"/>
              </w:numPr>
              <w:spacing w:after="60" w:before="40"/>
            </w:pPr>
            <w:r>
              <w:rPr>
                <w:rFonts w:ascii="Arial" w:cs="Arial" w:eastAsia="Arial" w:hAnsi="Arial"/>
                <w:color w:val="222222"/>
                <w:sz w:val="22"/>
                <w:szCs w:val="22"/>
              </w:rPr>
              <w:t xml:space="preserve">Inventory Imbalance: 78.18% of all 5,000 inventory records were either Overstocked (40.32%) or at Stockout Risk (37.86%), with only 21.82% in a Balanced state.</w:t>
            </w:r>
          </w:p>
          <w:p>
            <w:pPr>
              <w:pStyle w:val="ListParagraph"/>
              <w:numPr>
                <w:ilvl w:val="0"/>
                <w:numId w:val="2"/>
              </w:numPr>
              <w:spacing w:after="60" w:before="40"/>
            </w:pPr>
            <w:r>
              <w:rPr>
                <w:rFonts w:ascii="Arial" w:cs="Arial" w:eastAsia="Arial" w:hAnsi="Arial"/>
                <w:color w:val="222222"/>
                <w:sz w:val="22"/>
                <w:szCs w:val="22"/>
              </w:rPr>
              <w:t xml:space="preserve">Forecast Inaccuracy: Avg. forecast accuracy stood at 86.87%, meaning ~13% of demand predictions were wrong, leading to poor stock planning.</w:t>
            </w:r>
          </w:p>
          <w:p>
            <w:pPr>
              <w:pStyle w:val="ListParagraph"/>
              <w:numPr>
                <w:ilvl w:val="0"/>
                <w:numId w:val="2"/>
              </w:numPr>
              <w:spacing w:after="60" w:before="40"/>
            </w:pPr>
            <w:r>
              <w:rPr>
                <w:rFonts w:ascii="Arial" w:cs="Arial" w:eastAsia="Arial" w:hAnsi="Arial"/>
                <w:color w:val="222222"/>
                <w:sz w:val="22"/>
                <w:szCs w:val="22"/>
              </w:rPr>
              <w:t xml:space="preserve">High Holding Costs: Total holding costs reached Rs. 58.80 Crore across the 2-year period, with Rs. 32.24 Crore tied up in overstocked items alone.</w:t>
            </w:r>
          </w:p>
          <w:p>
            <w:pPr>
              <w:pStyle w:val="ListParagraph"/>
              <w:numPr>
                <w:ilvl w:val="0"/>
                <w:numId w:val="2"/>
              </w:numPr>
              <w:spacing w:after="60" w:before="40"/>
            </w:pPr>
            <w:r>
              <w:rPr>
                <w:rFonts w:ascii="Arial" w:cs="Arial" w:eastAsia="Arial" w:hAnsi="Arial"/>
                <w:color w:val="222222"/>
                <w:sz w:val="22"/>
                <w:szCs w:val="22"/>
              </w:rPr>
              <w:t xml:space="preserve">Revenue Leakage: Stockout risks across all 8 warehouses indicated missed revenue opportunities from unmet actual demand.</w:t>
            </w:r>
          </w:p>
          <w:p>
            <w:pPr>
              <w:pStyle w:val="ListParagraph"/>
              <w:numPr>
                <w:ilvl w:val="0"/>
                <w:numId w:val="2"/>
              </w:numPr>
              <w:spacing w:after="60" w:before="40"/>
            </w:pPr>
            <w:r>
              <w:rPr>
                <w:rFonts w:ascii="Arial" w:cs="Arial" w:eastAsia="Arial" w:hAnsi="Arial"/>
                <w:color w:val="222222"/>
                <w:sz w:val="22"/>
                <w:szCs w:val="22"/>
              </w:rPr>
              <w:t xml:space="preserve">No Visibility into Consecutive Stockout Patterns: Warehouses were experiencing back-to-back stockout risk without early detection mechanisms.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Parameter</w:t>
            </w:r>
          </w:p>
        </w:tc>
        <w:tc>
          <w:tcPr>
            <w:tcW w:type="dxa" w:w="31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Total Orders / Records</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5,000 entries</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E7B34"/>
                <w:sz w:val="20"/>
                <w:szCs w:val="20"/>
              </w:rPr>
              <w:t xml:space="preserve">2 Years (2022-2023)</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Companies Covered</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10 brands</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E7B34"/>
                <w:sz w:val="20"/>
                <w:szCs w:val="20"/>
              </w:rPr>
              <w:t xml:space="preserve">Biba, Westside, Manyavar, etc.</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Warehouse Locations</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8 cities</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E7B34"/>
                <w:sz w:val="20"/>
                <w:szCs w:val="20"/>
              </w:rPr>
              <w:t xml:space="preserve">Delhi, Mumbai, Bengaluru...</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 Categories</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5 categories</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E7B34"/>
                <w:sz w:val="20"/>
                <w:szCs w:val="20"/>
              </w:rPr>
              <w:t xml:space="preserve">Formal, Ethnic, Western...</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Time Period</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Jan 2022 - Dec 2023</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E7B34"/>
                <w:sz w:val="20"/>
                <w:szCs w:val="20"/>
              </w:rPr>
              <w:t xml:space="preserve">Full 24 months</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E7B34"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T</w:t>
            </w:r>
          </w:p>
        </w:tc>
        <w:tc>
          <w:tcPr>
            <w:tcW w:type="dxa" w:w="8360"/>
            <w:tcBorders>
              <w:top w:val="none" w:color="FFFFFF" w:sz="0"/>
              <w:left w:val="none" w:color="FFFFFF" w:sz="0"/>
              <w:bottom w:val="none" w:color="FFFFFF" w:sz="0"/>
              <w:right w:val="none" w:color="FFFFFF" w:sz="0"/>
            </w:tcBorders>
            <w:shd w:fill="FAFAFA" w:val="clear"/>
            <w:tcMar>
              <w:top w:type="dxa" w:w="200"/>
              <w:left w:type="dxa" w:w="200"/>
              <w:bottom w:type="dxa" w:w="200"/>
              <w:right w:type="dxa" w:w="200"/>
            </w:tcMar>
          </w:tcPr>
          <w:p>
            <w:r>
              <w:rPr>
                <w:rFonts w:ascii="Arial" w:cs="Arial" w:eastAsia="Arial" w:hAnsi="Arial"/>
                <w:b/>
                <w:bCs/>
                <w:color w:val="1E7B34"/>
                <w:sz w:val="28"/>
                <w:szCs w:val="28"/>
              </w:rPr>
              <w:t xml:space="preserve">TASK</w:t>
            </w:r>
          </w:p>
        </w:tc>
      </w:tr>
    </w:tbl>
    <w:p>
      <w:pPr>
        <w:spacing w:after="160" w:before="0"/>
      </w:pPr>
    </w:p>
    <w:p>
      <w:pPr>
        <w:pStyle w:val="Heading2"/>
        <w:spacing w:after="100" w:before="240"/>
      </w:pPr>
      <w:r>
        <w:rPr>
          <w:rFonts w:ascii="Arial" w:cs="Arial" w:eastAsia="Arial" w:hAnsi="Arial"/>
          <w:b/>
          <w:bCs/>
          <w:color w:val="2E75B6"/>
          <w:sz w:val="28"/>
          <w:szCs w:val="28"/>
        </w:rPr>
        <w:t xml:space="preserve">Objectives &amp; Analytical Goals</w:t>
      </w:r>
    </w:p>
    <w:p>
      <w:pPr>
        <w:spacing w:after="100" w:before="60"/>
      </w:pPr>
      <w:r>
        <w:rPr>
          <w:rFonts w:ascii="Arial" w:cs="Arial" w:eastAsia="Arial" w:hAnsi="Arial"/>
          <w:b w:val="false"/>
          <w:bCs w:val="false"/>
          <w:i w:val="false"/>
          <w:iCs w:val="false"/>
          <w:color w:val="222222"/>
          <w:sz w:val="22"/>
          <w:szCs w:val="22"/>
        </w:rPr>
        <w:t xml:space="preserve">The primary task was to build a complete end-to-end analytics pipeline to answer critical supply chain questions: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7EF" w:val="clear"/>
            <w:tcMar>
              <w:top w:type="dxa" w:w="200"/>
              <w:left w:type="dxa" w:w="280"/>
              <w:bottom w:type="dxa" w:w="200"/>
              <w:right w:type="dxa" w:w="280"/>
            </w:tcMar>
          </w:tcPr>
          <w:p>
            <w:pPr>
              <w:pStyle w:val="ListParagraph"/>
              <w:numPr>
                <w:ilvl w:val="0"/>
                <w:numId w:val="2"/>
              </w:numPr>
              <w:spacing w:after="60" w:before="40"/>
            </w:pPr>
            <w:r>
              <w:rPr>
                <w:rFonts w:ascii="Arial" w:cs="Arial" w:eastAsia="Arial" w:hAnsi="Arial"/>
                <w:b/>
                <w:bCs/>
                <w:color w:val="1F3D7A"/>
                <w:sz w:val="22"/>
                <w:szCs w:val="22"/>
              </w:rPr>
              <w:t xml:space="preserve">Task 1 — EDA (Python): </w:t>
            </w:r>
            <w:r>
              <w:rPr>
                <w:rFonts w:ascii="Arial" w:cs="Arial" w:eastAsia="Arial" w:hAnsi="Arial"/>
                <w:color w:val="222222"/>
                <w:sz w:val="22"/>
                <w:szCs w:val="22"/>
              </w:rPr>
              <w:t xml:space="preserve">Profile raw data, clean &amp; engineer features (Month, Year, Season, Demand Gap, Forecast Accuracy %, Revenue, Holding Cost, Stock Status), and derive visual insights into demand patterns, seasonal trends, and inventory health.</w:t>
            </w:r>
          </w:p>
          <w:p>
            <w:pPr>
              <w:pStyle w:val="ListParagraph"/>
              <w:numPr>
                <w:ilvl w:val="0"/>
                <w:numId w:val="2"/>
              </w:numPr>
              <w:spacing w:after="60" w:before="40"/>
            </w:pPr>
            <w:r>
              <w:rPr>
                <w:rFonts w:ascii="Arial" w:cs="Arial" w:eastAsia="Arial" w:hAnsi="Arial"/>
                <w:b/>
                <w:bCs/>
                <w:color w:val="1F3D7A"/>
                <w:sz w:val="22"/>
                <w:szCs w:val="22"/>
              </w:rPr>
              <w:t xml:space="preserve">Task 2 — SQL Analysis: </w:t>
            </w:r>
            <w:r>
              <w:rPr>
                <w:rFonts w:ascii="Arial" w:cs="Arial" w:eastAsia="Arial" w:hAnsi="Arial"/>
                <w:color w:val="222222"/>
                <w:sz w:val="22"/>
                <w:szCs w:val="22"/>
              </w:rPr>
              <w:t xml:space="preserve">Write 14 structured SQL queries covering total revenue, holding costs, forecast accuracy by company/product, overstock counts, stockout risk by warehouse, seasonal revenue, warehouse performance, and consecutive stockout detection.</w:t>
            </w:r>
          </w:p>
          <w:p>
            <w:pPr>
              <w:pStyle w:val="ListParagraph"/>
              <w:numPr>
                <w:ilvl w:val="0"/>
                <w:numId w:val="2"/>
              </w:numPr>
              <w:spacing w:after="60" w:before="40"/>
            </w:pPr>
            <w:r>
              <w:rPr>
                <w:rFonts w:ascii="Arial" w:cs="Arial" w:eastAsia="Arial" w:hAnsi="Arial"/>
                <w:b/>
                <w:bCs/>
                <w:color w:val="1F3D7A"/>
                <w:sz w:val="22"/>
                <w:szCs w:val="22"/>
              </w:rPr>
              <w:t xml:space="preserve">Task 3 — Power BI Dashboard: </w:t>
            </w:r>
            <w:r>
              <w:rPr>
                <w:rFonts w:ascii="Arial" w:cs="Arial" w:eastAsia="Arial" w:hAnsi="Arial"/>
                <w:color w:val="222222"/>
                <w:sz w:val="22"/>
                <w:szCs w:val="22"/>
              </w:rPr>
              <w:t xml:space="preserve">Build an interactive dashboard consolidating all KPIs, supporting drill-down by company, category, warehouse, and time period.</w:t>
            </w:r>
          </w:p>
          <w:p>
            <w:pPr>
              <w:pStyle w:val="ListParagraph"/>
              <w:numPr>
                <w:ilvl w:val="0"/>
                <w:numId w:val="2"/>
              </w:numPr>
              <w:spacing w:after="60" w:before="40"/>
            </w:pPr>
            <w:r>
              <w:rPr>
                <w:rFonts w:ascii="Arial" w:cs="Arial" w:eastAsia="Arial" w:hAnsi="Arial"/>
                <w:b/>
                <w:bCs/>
                <w:color w:val="1F3D7A"/>
                <w:sz w:val="22"/>
                <w:szCs w:val="22"/>
              </w:rPr>
              <w:t xml:space="preserve">Task 4 — Business Impact Reporting: </w:t>
            </w:r>
            <w:r>
              <w:rPr>
                <w:rFonts w:ascii="Arial" w:cs="Arial" w:eastAsia="Arial" w:hAnsi="Arial"/>
                <w:color w:val="222222"/>
                <w:sz w:val="22"/>
                <w:szCs w:val="22"/>
              </w:rPr>
              <w:t xml:space="preserve">Translate analytical findings into actionable business recommendations with quantified impacts.</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784212"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A</w:t>
            </w:r>
          </w:p>
        </w:tc>
        <w:tc>
          <w:tcPr>
            <w:tcW w:type="dxa" w:w="8360"/>
            <w:tcBorders>
              <w:top w:val="none" w:color="FFFFFF" w:sz="0"/>
              <w:left w:val="none" w:color="FFFFFF" w:sz="0"/>
              <w:bottom w:val="none" w:color="FFFFFF" w:sz="0"/>
              <w:right w:val="none" w:color="FFFFFF" w:sz="0"/>
            </w:tcBorders>
            <w:shd w:fill="FAFAFA" w:val="clear"/>
            <w:tcMar>
              <w:top w:type="dxa" w:w="200"/>
              <w:left w:type="dxa" w:w="200"/>
              <w:bottom w:type="dxa" w:w="200"/>
              <w:right w:type="dxa" w:w="200"/>
            </w:tcMar>
          </w:tcPr>
          <w:p>
            <w:r>
              <w:rPr>
                <w:rFonts w:ascii="Arial" w:cs="Arial" w:eastAsia="Arial" w:hAnsi="Arial"/>
                <w:b/>
                <w:bCs/>
                <w:color w:val="784212"/>
                <w:sz w:val="28"/>
                <w:szCs w:val="28"/>
              </w:rPr>
              <w:t xml:space="preserve">ACTION</w:t>
            </w:r>
          </w:p>
        </w:tc>
      </w:tr>
    </w:tbl>
    <w:p>
      <w:pPr>
        <w:spacing w:after="160" w:before="0"/>
      </w:pPr>
    </w:p>
    <w:p>
      <w:pPr>
        <w:pStyle w:val="Heading2"/>
        <w:spacing w:after="100" w:before="240"/>
      </w:pPr>
      <w:r>
        <w:rPr>
          <w:rFonts w:ascii="Arial" w:cs="Arial" w:eastAsia="Arial" w:hAnsi="Arial"/>
          <w:b/>
          <w:bCs/>
          <w:color w:val="2E75B6"/>
          <w:sz w:val="28"/>
          <w:szCs w:val="28"/>
        </w:rPr>
        <w:t xml:space="preserve">Methodology &amp; Analytical Actions</w:t>
      </w:r>
    </w:p>
    <w:p>
      <w:pPr>
        <w:spacing w:after="80" w:before="200"/>
      </w:pPr>
      <w:r>
        <w:rPr>
          <w:rFonts w:ascii="Arial" w:cs="Arial" w:eastAsia="Arial" w:hAnsi="Arial"/>
          <w:b/>
          <w:bCs/>
          <w:color w:val="1A1A2E"/>
          <w:sz w:val="24"/>
          <w:szCs w:val="24"/>
        </w:rPr>
        <w:t xml:space="preserve">Phase 1: Data Engineering &amp; EDA (Python)</w:t>
      </w:r>
    </w:p>
    <w:p>
      <w:pPr>
        <w:pStyle w:val="ListParagraph"/>
        <w:numPr>
          <w:ilvl w:val="0"/>
          <w:numId w:val="2"/>
        </w:numPr>
        <w:spacing w:after="60" w:before="40"/>
      </w:pPr>
      <w:r>
        <w:rPr>
          <w:rFonts w:ascii="Arial" w:cs="Arial" w:eastAsia="Arial" w:hAnsi="Arial"/>
          <w:color w:val="222222"/>
          <w:sz w:val="22"/>
          <w:szCs w:val="22"/>
        </w:rPr>
        <w:t xml:space="preserve">Loaded raw dataset with 5,000 records and 10 columns from Fashion_Supply_Chain.csv.</w:t>
      </w:r>
    </w:p>
    <w:p>
      <w:pPr>
        <w:pStyle w:val="ListParagraph"/>
        <w:numPr>
          <w:ilvl w:val="0"/>
          <w:numId w:val="2"/>
        </w:numPr>
        <w:spacing w:after="60" w:before="40"/>
      </w:pPr>
      <w:r>
        <w:rPr>
          <w:rFonts w:ascii="Arial" w:cs="Arial" w:eastAsia="Arial" w:hAnsi="Arial"/>
          <w:color w:val="222222"/>
          <w:sz w:val="22"/>
          <w:szCs w:val="22"/>
        </w:rPr>
        <w:t xml:space="preserve">Performed data cleaning: renamed columns, parsed dates, removed nulls.</w:t>
      </w:r>
    </w:p>
    <w:p>
      <w:pPr>
        <w:pStyle w:val="ListParagraph"/>
        <w:numPr>
          <w:ilvl w:val="0"/>
          <w:numId w:val="2"/>
        </w:numPr>
        <w:spacing w:after="60" w:before="40"/>
      </w:pPr>
      <w:r>
        <w:rPr>
          <w:rFonts w:ascii="Arial" w:cs="Arial" w:eastAsia="Arial" w:hAnsi="Arial"/>
          <w:color w:val="222222"/>
          <w:sz w:val="22"/>
          <w:szCs w:val="22"/>
        </w:rPr>
        <w:t xml:space="preserve">Engineered 9 new feature columns: Month, Year, Quarter, Season, Demand_Gap, Forecast_Accuracy_%, Revenue, Holding_Cost, Stock_Status.</w:t>
      </w:r>
    </w:p>
    <w:p>
      <w:pPr>
        <w:pStyle w:val="ListParagraph"/>
        <w:numPr>
          <w:ilvl w:val="0"/>
          <w:numId w:val="2"/>
        </w:numPr>
        <w:spacing w:after="60" w:before="40"/>
      </w:pPr>
      <w:r>
        <w:rPr>
          <w:rFonts w:ascii="Arial" w:cs="Arial" w:eastAsia="Arial" w:hAnsi="Arial"/>
          <w:color w:val="222222"/>
          <w:sz w:val="22"/>
          <w:szCs w:val="22"/>
        </w:rPr>
        <w:t xml:space="preserve">Applied business logic: Revenue = Actual_Demand x Unit_Price; Holding_Cost = Stock_On_Hand x Unit_Price x 0.20 (20% carrying cost); Forecast_Accuracy_% = (1 - |Gap| / Forecast) x 100.</w:t>
      </w:r>
    </w:p>
    <w:p>
      <w:pPr>
        <w:pStyle w:val="ListParagraph"/>
        <w:numPr>
          <w:ilvl w:val="0"/>
          <w:numId w:val="2"/>
        </w:numPr>
        <w:spacing w:after="60" w:before="40"/>
      </w:pPr>
      <w:r>
        <w:rPr>
          <w:rFonts w:ascii="Arial" w:cs="Arial" w:eastAsia="Arial" w:hAnsi="Arial"/>
          <w:color w:val="222222"/>
          <w:sz w:val="22"/>
          <w:szCs w:val="22"/>
        </w:rPr>
        <w:t xml:space="preserve">Stock classification: Balanced (accuracy &gt;= 90%), Stockout Risk (demand &gt; stock), Overstock (surplus &gt;= 20% of stock).</w:t>
      </w:r>
    </w:p>
    <w:p>
      <w:pPr>
        <w:pStyle w:val="ListParagraph"/>
        <w:numPr>
          <w:ilvl w:val="0"/>
          <w:numId w:val="2"/>
        </w:numPr>
        <w:spacing w:after="60" w:before="40"/>
      </w:pPr>
      <w:r>
        <w:rPr>
          <w:rFonts w:ascii="Arial" w:cs="Arial" w:eastAsia="Arial" w:hAnsi="Arial"/>
          <w:color w:val="222222"/>
          <w:sz w:val="22"/>
          <w:szCs w:val="22"/>
        </w:rPr>
        <w:t xml:space="preserve">Visualized demand trends, seasonal patterns, category revenue, warehouse performance.</w:t>
      </w:r>
    </w:p>
    <w:p>
      <w:pPr>
        <w:spacing w:after="160" w:before="0"/>
      </w:pPr>
    </w:p>
    <w:p>
      <w:pPr>
        <w:spacing w:after="80" w:before="200"/>
      </w:pPr>
      <w:r>
        <w:rPr>
          <w:rFonts w:ascii="Arial" w:cs="Arial" w:eastAsia="Arial" w:hAnsi="Arial"/>
          <w:b/>
          <w:bCs/>
          <w:color w:val="1A1A2E"/>
          <w:sz w:val="24"/>
          <w:szCs w:val="24"/>
        </w:rPr>
        <w:t xml:space="preserve">Phase 2: SQL Queries (14 Analytical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SQL Query</w:t>
            </w:r>
          </w:p>
        </w:tc>
        <w:tc>
          <w:tcPr>
            <w:tcW w:type="dxa" w:w="46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r>
      <w:tr>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Total Revenue</w:t>
            </w:r>
          </w:p>
        </w:tc>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SELECT ROUND(SUM(Revenue),2) AS Total_Revenue</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Total Holding Cost</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Aggregate holding cost across all inventory</w:t>
            </w:r>
          </w:p>
        </w:tc>
      </w:tr>
      <w:tr>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Revenue by Category</w:t>
            </w:r>
          </w:p>
        </w:tc>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GROUP BY Category ORDER BY Revenue DESC</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Seasonal Revenue</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GROUP BY Season - Summer, Winter, Festive, Monsoon</w:t>
            </w:r>
          </w:p>
        </w:tc>
      </w:tr>
      <w:tr>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Monthly Demand Trend</w:t>
            </w:r>
          </w:p>
        </w:tc>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Forecast vs. Actual demand by month</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Warehouse Performance</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Revenue + Forecast Accuracy per warehouse</w:t>
            </w:r>
          </w:p>
        </w:tc>
      </w:tr>
      <w:tr>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Warehouse Stockout Risk</w:t>
            </w:r>
          </w:p>
        </w:tc>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Count of Stockout Risk records per warehouse</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Consecutive Stockout Detection</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LAG() Window Function on Stock_Status</w:t>
            </w:r>
          </w:p>
        </w:tc>
      </w:tr>
      <w:tr>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Overstock Products Count</w:t>
            </w:r>
          </w:p>
        </w:tc>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Products with highest overstock frequency</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Top Products by Holding Cost</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LIMIT 10 by SUM(Holding_Cost)</w:t>
            </w:r>
          </w:p>
        </w:tc>
      </w:tr>
      <w:tr>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Company Holding Cost</w:t>
            </w:r>
          </w:p>
        </w:tc>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GROUP BY Company Name</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Avg Forecast Accuracy</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AVG(Forecast_Accuracy_%) across all records</w:t>
            </w:r>
          </w:p>
        </w:tc>
      </w:tr>
      <w:tr>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Company Forecast Accuracy</w:t>
            </w:r>
          </w:p>
        </w:tc>
        <w:tc>
          <w:tcPr>
            <w:tcW w:type="dxa" w:w="46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Ranked forecast accuracy per company</w:t>
            </w:r>
          </w:p>
        </w:tc>
      </w:tr>
      <w:tr>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Lowest Accuracy Products</w:t>
            </w:r>
          </w:p>
        </w:tc>
        <w:tc>
          <w:tcPr>
            <w:tcW w:type="dxa" w:w="4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DENSE_RANK() + CTE for bottom 10 products</w:t>
            </w:r>
          </w:p>
        </w:tc>
      </w:tr>
    </w:tbl>
    <w:p>
      <w:pPr>
        <w:spacing w:after="160" w:before="0"/>
      </w:pPr>
    </w:p>
    <w:p>
      <w:pPr>
        <w:spacing w:after="80" w:before="200"/>
      </w:pPr>
      <w:r>
        <w:rPr>
          <w:rFonts w:ascii="Arial" w:cs="Arial" w:eastAsia="Arial" w:hAnsi="Arial"/>
          <w:b/>
          <w:bCs/>
          <w:color w:val="1A1A2E"/>
          <w:sz w:val="24"/>
          <w:szCs w:val="24"/>
        </w:rPr>
        <w:t xml:space="preserve">Phase 3: Power BI Dashboard</w:t>
      </w:r>
    </w:p>
    <w:p>
      <w:pPr>
        <w:pStyle w:val="ListParagraph"/>
        <w:numPr>
          <w:ilvl w:val="0"/>
          <w:numId w:val="2"/>
        </w:numPr>
        <w:spacing w:after="60" w:before="40"/>
      </w:pPr>
      <w:r>
        <w:rPr>
          <w:rFonts w:ascii="Arial" w:cs="Arial" w:eastAsia="Arial" w:hAnsi="Arial"/>
          <w:color w:val="222222"/>
          <w:sz w:val="22"/>
          <w:szCs w:val="22"/>
        </w:rPr>
        <w:t xml:space="preserve">Connected cleaned_data.csv to Power BI and built interactive visuals.</w:t>
      </w:r>
    </w:p>
    <w:p>
      <w:pPr>
        <w:pStyle w:val="ListParagraph"/>
        <w:numPr>
          <w:ilvl w:val="0"/>
          <w:numId w:val="2"/>
        </w:numPr>
        <w:spacing w:after="60" w:before="40"/>
      </w:pPr>
      <w:r>
        <w:rPr>
          <w:rFonts w:ascii="Arial" w:cs="Arial" w:eastAsia="Arial" w:hAnsi="Arial"/>
          <w:color w:val="222222"/>
          <w:sz w:val="22"/>
          <w:szCs w:val="22"/>
        </w:rPr>
        <w:t xml:space="preserve">Implemented slicers for Company, Category, Warehouse, Season, Year.</w:t>
      </w:r>
    </w:p>
    <w:p>
      <w:pPr>
        <w:pStyle w:val="ListParagraph"/>
        <w:numPr>
          <w:ilvl w:val="0"/>
          <w:numId w:val="2"/>
        </w:numPr>
        <w:spacing w:after="60" w:before="40"/>
      </w:pPr>
      <w:r>
        <w:rPr>
          <w:rFonts w:ascii="Arial" w:cs="Arial" w:eastAsia="Arial" w:hAnsi="Arial"/>
          <w:color w:val="222222"/>
          <w:sz w:val="22"/>
          <w:szCs w:val="22"/>
        </w:rPr>
        <w:t xml:space="preserve">KPI cards: Total Revenue, Total Holding Cost, Avg Forecast Accuracy, Stock Status distribution.</w:t>
      </w:r>
    </w:p>
    <w:p>
      <w:pPr>
        <w:pStyle w:val="ListParagraph"/>
        <w:numPr>
          <w:ilvl w:val="0"/>
          <w:numId w:val="2"/>
        </w:numPr>
        <w:spacing w:after="60" w:before="40"/>
      </w:pPr>
      <w:r>
        <w:rPr>
          <w:rFonts w:ascii="Arial" w:cs="Arial" w:eastAsia="Arial" w:hAnsi="Arial"/>
          <w:color w:val="222222"/>
          <w:sz w:val="22"/>
          <w:szCs w:val="22"/>
        </w:rPr>
        <w:t xml:space="preserve">Charts: Revenue by Category (bar), Demand Trend (line), Warehouse Map, Seasonal Revenue (donut).</w:t>
      </w:r>
    </w:p>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922B21" w:val="clear"/>
            <w:tcMar>
              <w:top w:type="dxa" w:w="200"/>
              <w:left w:type="dxa" w:w="200"/>
              <w:bottom w:type="dxa" w:w="200"/>
              <w:right w:type="dxa" w:w="200"/>
            </w:tcMar>
            <w:vAlign w:val="center"/>
          </w:tcPr>
          <w:p>
            <w:pPr>
              <w:jc w:val="center"/>
            </w:pPr>
            <w:r>
              <w:rPr>
                <w:rFonts w:ascii="Arial" w:cs="Arial" w:eastAsia="Arial" w:hAnsi="Arial"/>
                <w:b/>
                <w:bCs/>
                <w:color w:val="FFFFFF"/>
                <w:sz w:val="40"/>
                <w:szCs w:val="40"/>
              </w:rPr>
              <w:t xml:space="preserve">R</w:t>
            </w:r>
          </w:p>
        </w:tc>
        <w:tc>
          <w:tcPr>
            <w:tcW w:type="dxa" w:w="8360"/>
            <w:tcBorders>
              <w:top w:val="none" w:color="FFFFFF" w:sz="0"/>
              <w:left w:val="none" w:color="FFFFFF" w:sz="0"/>
              <w:bottom w:val="none" w:color="FFFFFF" w:sz="0"/>
              <w:right w:val="none" w:color="FFFFFF" w:sz="0"/>
            </w:tcBorders>
            <w:shd w:fill="FAFAFA" w:val="clear"/>
            <w:tcMar>
              <w:top w:type="dxa" w:w="200"/>
              <w:left w:type="dxa" w:w="200"/>
              <w:bottom w:type="dxa" w:w="200"/>
              <w:right w:type="dxa" w:w="200"/>
            </w:tcMar>
          </w:tcPr>
          <w:p>
            <w:r>
              <w:rPr>
                <w:rFonts w:ascii="Arial" w:cs="Arial" w:eastAsia="Arial" w:hAnsi="Arial"/>
                <w:b/>
                <w:bCs/>
                <w:color w:val="922B21"/>
                <w:sz w:val="28"/>
                <w:szCs w:val="28"/>
              </w:rPr>
              <w:t xml:space="preserve">RESULT</w:t>
            </w:r>
          </w:p>
        </w:tc>
      </w:tr>
    </w:tbl>
    <w:p>
      <w:pPr>
        <w:spacing w:after="160" w:before="0"/>
      </w:pPr>
    </w:p>
    <w:p>
      <w:pPr>
        <w:pStyle w:val="Heading2"/>
        <w:spacing w:after="100" w:before="240"/>
      </w:pPr>
      <w:r>
        <w:rPr>
          <w:rFonts w:ascii="Arial" w:cs="Arial" w:eastAsia="Arial" w:hAnsi="Arial"/>
          <w:b/>
          <w:bCs/>
          <w:color w:val="2E75B6"/>
          <w:sz w:val="28"/>
          <w:szCs w:val="28"/>
        </w:rPr>
        <w:t xml:space="preserve">Primary Insights &amp; Results</w:t>
      </w:r>
    </w:p>
    <w:p>
      <w:pPr>
        <w:spacing w:after="160" w:before="0"/>
      </w:pPr>
    </w:p>
    <w:p>
      <w:pPr>
        <w:spacing w:after="80" w:before="200"/>
      </w:pPr>
      <w:r>
        <w:rPr>
          <w:rFonts w:ascii="Arial" w:cs="Arial" w:eastAsia="Arial" w:hAnsi="Arial"/>
          <w:b/>
          <w:bCs/>
          <w:color w:val="1A1A2E"/>
          <w:sz w:val="24"/>
          <w:szCs w:val="24"/>
        </w:rPr>
        <w:t xml:space="preserve">A. Revenue Performance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KPI / Metric</w:t>
            </w:r>
          </w:p>
        </w:tc>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Value</w:t>
            </w:r>
          </w:p>
        </w:tc>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Remarks</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Total Revenue (2-Year)</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Rs. 307.64 Crore</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Across all 10 companies, 8 warehouses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Revenue Year 2022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Rs. 152.17 Crore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Base year performance</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Revenue Year 2023</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Rs. 155.47 Crore</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+2.16% YoY growth</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Top Category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Formal Wear — Rs. 97.22 Cr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31.6% of total revenue</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Bottom Category</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Casual Wear — Rs. 29.14 Cr</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9.5% of total revenue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Top Revenue Company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Westside — Rs. 34.60 Cr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11.25% market share</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Bottom Revenue Company</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Fabindia — Rs. 27.68 Cr</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9.00% market share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Top Warehouse by Revenue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Delhi — Rs. 40.66 Cr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13.2% of total revenue</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Bottom Warehouse</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Chennai — Rs. 35.75 Cr</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11.6% of total revenue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Top Season Revenue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Summer — Rs. 80.52 Cr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26.17% of annual revenue</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Festive Season Revenue</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Rs. 78.82 Cr</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25.62% — 2nd highest</w:t>
            </w:r>
          </w:p>
        </w:tc>
      </w:tr>
    </w:tbl>
    <w:p>
      <w:pPr>
        <w:spacing w:after="160" w:before="0"/>
      </w:pPr>
    </w:p>
    <w:p>
      <w:pPr>
        <w:spacing w:after="80" w:before="200"/>
      </w:pPr>
      <w:r>
        <w:rPr>
          <w:rFonts w:ascii="Arial" w:cs="Arial" w:eastAsia="Arial" w:hAnsi="Arial"/>
          <w:b/>
          <w:bCs/>
          <w:color w:val="1A1A2E"/>
          <w:sz w:val="24"/>
          <w:szCs w:val="24"/>
        </w:rPr>
        <w:t xml:space="preserve">B. Inventory Health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KPI / Metric</w:t>
            </w:r>
          </w:p>
        </w:tc>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Value</w:t>
            </w:r>
          </w:p>
        </w:tc>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Remarks</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Total Holding Cost (2-Year)</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Rs. 58.80 Crore</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19.1% of total revenue consumed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Holding Cost — Overstock Items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Rs. 32.24 Crore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54.8% of total holding cost wasted</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Holding Cost — Stockout Risk</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Rs. 12.37 Crore</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Indicates unoptimized restocking</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Overstock Rate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40.32% (2,016 records)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 — highest stock issue</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Stockout Risk Rate</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37.86% (1,893 records)</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High — major lost-sales risk</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Balanced Inventory Rate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21.82% (1,091 records)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Only 1 in 5 orders balanced</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Highest Overstock Product</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Trouser — 107 instances</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Needs production/order cap</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Top Holding Cost Product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Trouser — Rs. 4.73 Crore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Highest carry cost item</w:t>
            </w:r>
          </w:p>
        </w:tc>
      </w:tr>
    </w:tbl>
    <w:p>
      <w:pPr>
        <w:spacing w:after="160" w:before="0"/>
      </w:pPr>
    </w:p>
    <w:p>
      <w:pPr>
        <w:spacing w:after="80" w:before="200"/>
      </w:pPr>
      <w:r>
        <w:rPr>
          <w:rFonts w:ascii="Arial" w:cs="Arial" w:eastAsia="Arial" w:hAnsi="Arial"/>
          <w:b/>
          <w:bCs/>
          <w:color w:val="1A1A2E"/>
          <w:sz w:val="24"/>
          <w:szCs w:val="24"/>
        </w:rPr>
        <w:t xml:space="preserve">C. Forecast Accuracy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KPI / Metric</w:t>
            </w:r>
          </w:p>
        </w:tc>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Value</w:t>
            </w:r>
          </w:p>
        </w:tc>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Remarks</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Average Forecast Accuracy</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86.87%</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~13% demand misprediction rate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Best Accuracy Company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Fabindia — 87.72%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Leader in demand planning</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Worst Accuracy Company</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Manyavar — 85.95%</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Needs forecasting improvement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Worst Accuracy Product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Blazer — 85.29%</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Lowest forecast reliability</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2nd Worst Product</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Pencil Skirt — 85.49%</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High variance in demand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Demand Gap (Avg)</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-0.97 units/order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Slight systemic overforecasting</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Underforecast Orders</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2,418 / 5,000 (48.4%)</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Actual demand exceeded forecast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Overforecast Orders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2,539 / 5,000 (50.8%)</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Leading to overstock</w:t>
            </w:r>
          </w:p>
        </w:tc>
      </w:tr>
    </w:tbl>
    <w:p>
      <w:pPr>
        <w:spacing w:after="160" w:before="0"/>
      </w:pPr>
    </w:p>
    <w:p>
      <w:pPr>
        <w:spacing w:after="80" w:before="200"/>
      </w:pPr>
      <w:r>
        <w:rPr>
          <w:rFonts w:ascii="Arial" w:cs="Arial" w:eastAsia="Arial" w:hAnsi="Arial"/>
          <w:b/>
          <w:bCs/>
          <w:color w:val="1A1A2E"/>
          <w:sz w:val="24"/>
          <w:szCs w:val="24"/>
        </w:rPr>
        <w:t xml:space="preserve">D. Warehouse &amp; Stockout Risk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Warehouse</w:t>
            </w:r>
          </w:p>
        </w:tc>
        <w:tc>
          <w:tcPr>
            <w:tcW w:type="dxa" w:w="31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Stockout Risk Count</w:t>
            </w:r>
          </w:p>
        </w:tc>
        <w:tc>
          <w:tcPr>
            <w:tcW w:type="dxa" w:w="31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Level</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Pune</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249 stockout risk records</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Highest Risk</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Kolkata</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249 stockout risk records</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Highest Risk</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Bengaluru</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244 stockout risk records</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High Risk</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Ahmedabad</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242 stockout risk records</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High Risk</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Delhi</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238 stockout risk records</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High Risk</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Hyderabad</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226 stockout risk records</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Moderate Risk</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color w:val="1A1A2E"/>
                <w:sz w:val="20"/>
                <w:szCs w:val="20"/>
              </w:rPr>
              <w:t xml:space="preserve">Mumbai</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226 stockout risk records</w:t>
            </w:r>
          </w:p>
        </w:tc>
        <w:tc>
          <w:tcPr>
            <w:tcW w:type="dxa" w:w="318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Moderate Risk</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Chennai</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F3D7A"/>
                <w:sz w:val="20"/>
                <w:szCs w:val="20"/>
              </w:rPr>
              <w:t xml:space="preserve">219 stockout risk records</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Lower Risk</w:t>
            </w:r>
          </w:p>
        </w:tc>
      </w:tr>
    </w:tbl>
    <w:p>
      <w:pPr>
        <w:spacing w:after="160" w:before="0"/>
      </w:pPr>
    </w:p>
    <w:p>
      <w:pPr>
        <w:spacing w:after="80" w:before="200"/>
      </w:pPr>
      <w:r>
        <w:rPr>
          <w:rFonts w:ascii="Arial" w:cs="Arial" w:eastAsia="Arial" w:hAnsi="Arial"/>
          <w:b/>
          <w:bCs/>
          <w:color w:val="1A1A2E"/>
          <w:sz w:val="24"/>
          <w:szCs w:val="24"/>
        </w:rPr>
        <w:t xml:space="preserve">E. Advanced SQL Insights</w:t>
      </w:r>
    </w:p>
    <w:p>
      <w:pPr>
        <w:pStyle w:val="ListParagraph"/>
        <w:numPr>
          <w:ilvl w:val="0"/>
          <w:numId w:val="2"/>
        </w:numPr>
        <w:spacing w:after="60" w:before="40"/>
      </w:pPr>
      <w:r>
        <w:rPr>
          <w:rFonts w:ascii="Arial" w:cs="Arial" w:eastAsia="Arial" w:hAnsi="Arial"/>
          <w:color w:val="222222"/>
          <w:sz w:val="22"/>
          <w:szCs w:val="22"/>
        </w:rPr>
        <w:t xml:space="preserve">Consecutive Stockout Detection (LAG Window Function): Identified multiple warehouses experiencing back-to-back stockout risk days, indicating systemic replenishment failure, not isolated incidents.</w:t>
      </w:r>
    </w:p>
    <w:p>
      <w:pPr>
        <w:pStyle w:val="ListParagraph"/>
        <w:numPr>
          <w:ilvl w:val="0"/>
          <w:numId w:val="2"/>
        </w:numPr>
        <w:spacing w:after="60" w:before="40"/>
      </w:pPr>
      <w:r>
        <w:rPr>
          <w:rFonts w:ascii="Arial" w:cs="Arial" w:eastAsia="Arial" w:hAnsi="Arial"/>
          <w:color w:val="222222"/>
          <w:sz w:val="22"/>
          <w:szCs w:val="22"/>
        </w:rPr>
        <w:t xml:space="preserve">Seasonal Revenue: Summer (Rs. 80.52 Cr) and Festive (Rs. 78.82 Cr) together account for 51.79% of annual revenue — strong seasonal concentration risk.</w:t>
      </w:r>
    </w:p>
    <w:p>
      <w:pPr>
        <w:pStyle w:val="ListParagraph"/>
        <w:numPr>
          <w:ilvl w:val="0"/>
          <w:numId w:val="2"/>
        </w:numPr>
        <w:spacing w:after="60" w:before="40"/>
      </w:pPr>
      <w:r>
        <w:rPr>
          <w:rFonts w:ascii="Arial" w:cs="Arial" w:eastAsia="Arial" w:hAnsi="Arial"/>
          <w:color w:val="222222"/>
          <w:sz w:val="22"/>
          <w:szCs w:val="22"/>
        </w:rPr>
        <w:t xml:space="preserve">Top Performing Product per Warehouse (ROW_NUMBER Window): Identified the single best revenue-generating product for each of the 8 warehouses, enabling warehouse-specific product prioritization.</w:t>
      </w:r>
    </w:p>
    <w:p>
      <w:pPr>
        <w:pStyle w:val="ListParagraph"/>
        <w:numPr>
          <w:ilvl w:val="0"/>
          <w:numId w:val="2"/>
        </w:numPr>
        <w:spacing w:after="60" w:before="40"/>
      </w:pPr>
      <w:r>
        <w:rPr>
          <w:rFonts w:ascii="Arial" w:cs="Arial" w:eastAsia="Arial" w:hAnsi="Arial"/>
          <w:color w:val="222222"/>
          <w:sz w:val="22"/>
          <w:szCs w:val="22"/>
        </w:rPr>
        <w:t xml:space="preserve">Company Holding Cost: Manyavar bears the highest holding cost at Rs. 6.32 Crore, while Myntra is most efficient at Rs. 5.30 Crore, a 19.2% cost difference.</w:t>
      </w:r>
    </w:p>
    <w:p>
      <w:pPr>
        <w:spacing w:after="320" w:before="0"/>
      </w:pPr>
    </w:p>
    <w:p>
      <w:r>
        <w:br w:type="page"/>
      </w:r>
    </w:p>
    <w:p>
      <w:pPr>
        <w:pStyle w:val="Heading1"/>
        <w:pBdr>
          <w:bottom w:val="single" w:color="2E75B6" w:sz="6" w:space="6"/>
        </w:pBdr>
        <w:spacing w:after="120" w:before="360"/>
      </w:pPr>
      <w:r>
        <w:rPr>
          <w:rFonts w:ascii="Arial" w:cs="Arial" w:eastAsia="Arial" w:hAnsi="Arial"/>
          <w:b/>
          <w:bCs/>
          <w:color w:val="1F3D7A"/>
          <w:sz w:val="36"/>
          <w:szCs w:val="36"/>
        </w:rPr>
        <w:t xml:space="preserve">PROJECT IMPACT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200"/>
              <w:left w:type="dxa" w:w="280"/>
              <w:bottom w:type="dxa" w:w="200"/>
              <w:right w:type="dxa" w:w="280"/>
            </w:tcMar>
          </w:tcPr>
          <w:p>
            <w:pPr>
              <w:spacing w:after="60" w:before="80"/>
              <w:jc w:val="center"/>
            </w:pPr>
            <w:r>
              <w:rPr>
                <w:rFonts w:ascii="Arial" w:cs="Arial" w:eastAsia="Arial" w:hAnsi="Arial"/>
                <w:b/>
                <w:bCs/>
                <w:color w:val="1F3D7A"/>
                <w:sz w:val="28"/>
                <w:szCs w:val="28"/>
              </w:rPr>
              <w:t xml:space="preserve">Quantified Business Impact Created by This Project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KPI / Metric</w:t>
            </w:r>
          </w:p>
        </w:tc>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Value</w:t>
            </w:r>
          </w:p>
        </w:tc>
        <w:tc>
          <w:tcPr>
            <w:tcW w:type="dxa" w:w="3120"/>
            <w:tcBorders>
              <w:top w:val="single" w:color="CCCCCC" w:sz="4"/>
              <w:left w:val="single" w:color="CCCCCC" w:sz="4"/>
              <w:bottom w:val="single" w:color="CCCCCC" w:sz="4"/>
              <w:right w:val="single" w:color="CCCCCC" w:sz="4"/>
            </w:tcBorders>
            <w:shd w:fill="1F3D7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Remarks</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Data Coverage</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5,000 records / 2 years</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Complete operational picture built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Features Engineered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9 new analytical columns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From 10 raw cols to 19 analytical cols</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SQL Queries Written</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14 queries (incl. 3 Window Fns)</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CTEs, LAG(), ROW_NUMBER(), DENSE_RANK()</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Inventory Issue Identified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78.18% non-optimal inventory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Quantified scale of operational loss</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Wasted Holding Cost Found</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Rs. 32.24 Crore (overstock)</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54.8% of holding cost identified as waste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Revenue at Risk (Stockout)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Rs. 12.37 Cr holding cost wasted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 unquantified lost sales from 1,893 gaps</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Worst Forecast Products</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10 products ranked</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Priority list for ML model improvement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Highest Risk Warehouses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Pune &amp; Kolkata (249 each)</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Specific replenishment action targets</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YoY Revenue Growth Found</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+Rs. 3.30 Crore (+2.16%)</w:t>
            </w:r>
          </w:p>
        </w:tc>
        <w:tc>
          <w:tcPr>
            <w:tcW w:type="dxa" w:w="312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color w:val="444444"/>
                <w:sz w:val="20"/>
                <w:szCs w:val="20"/>
              </w:rPr>
              <w:t xml:space="preserve">Tracked business growth trajectory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Power BI Dashboard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 interactive dashboard built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 drill-down for all stakeholders</w:t>
            </w:r>
          </w:p>
        </w:tc>
      </w:tr>
    </w:tbl>
    <w:p>
      <w:pPr>
        <w:spacing w:after="320" w:before="0"/>
      </w:pPr>
    </w:p>
    <w:p>
      <w:pPr>
        <w:pStyle w:val="Heading1"/>
        <w:pBdr>
          <w:bottom w:val="single" w:color="2E75B6" w:sz="6" w:space="6"/>
        </w:pBdr>
        <w:spacing w:after="120" w:before="360"/>
      </w:pPr>
      <w:r>
        <w:rPr>
          <w:rFonts w:ascii="Arial" w:cs="Arial" w:eastAsia="Arial" w:hAnsi="Arial"/>
          <w:b/>
          <w:bCs/>
          <w:color w:val="1F3D7A"/>
          <w:sz w:val="36"/>
          <w:szCs w:val="36"/>
        </w:rPr>
        <w:t xml:space="preserve">RECOMMENDATIONS &amp; PROJECTED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200"/>
              <w:left w:type="dxa" w:w="280"/>
              <w:bottom w:type="dxa" w:w="200"/>
              <w:right w:type="dxa" w:w="280"/>
            </w:tcMar>
          </w:tcPr>
          <w:p>
            <w:pPr>
              <w:spacing w:after="60" w:before="80"/>
              <w:jc w:val="center"/>
            </w:pPr>
            <w:r>
              <w:rPr>
                <w:rFonts w:ascii="Arial" w:cs="Arial" w:eastAsia="Arial" w:hAnsi="Arial"/>
                <w:b/>
                <w:bCs/>
                <w:color w:val="C9A84C"/>
                <w:sz w:val="28"/>
                <w:szCs w:val="28"/>
              </w:rPr>
              <w:t xml:space="preserve">Strategic Recommendations to Fix Identified Gaps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500"/>
        <w:gridCol w:w="3500"/>
        <w:gridCol w:w="3160"/>
      </w:tblGrid>
      <w:tr>
        <w:tc>
          <w:tcPr>
            <w:tcW w:type="dxa" w:w="200"/>
            <w:tcBorders>
              <w:top w:val="single" w:color="CCCCCC" w:sz="4"/>
              <w:left w:val="single" w:color="CCCCCC" w:sz="4"/>
              <w:bottom w:val="single" w:color="CCCCCC" w:sz="4"/>
              <w:right w:val="single" w:color="CCCCCC" w:sz="4"/>
            </w:tcBorders>
            <w:shd w:fill="1F3D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500"/>
            <w:tcBorders>
              <w:top w:val="single" w:color="CCCCCC" w:sz="4"/>
              <w:left w:val="single" w:color="CCCCCC" w:sz="4"/>
              <w:bottom w:val="single" w:color="CCCCCC" w:sz="4"/>
              <w:right w:val="single" w:color="CCCCCC" w:sz="4"/>
            </w:tcBorders>
            <w:shd w:fill="1F3D7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500"/>
            <w:tcBorders>
              <w:top w:val="single" w:color="CCCCCC" w:sz="4"/>
              <w:left w:val="single" w:color="CCCCCC" w:sz="4"/>
              <w:bottom w:val="single" w:color="CCCCCC" w:sz="4"/>
              <w:right w:val="single" w:color="CCCCCC" w:sz="4"/>
            </w:tcBorders>
            <w:shd w:fill="1F3D7A"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c>
          <w:tcPr>
            <w:tcW w:type="dxa" w:w="3160"/>
            <w:tcBorders>
              <w:top w:val="single" w:color="CCCCCC" w:sz="4"/>
              <w:left w:val="single" w:color="CCCCCC" w:sz="4"/>
              <w:bottom w:val="single" w:color="CCCCCC" w:sz="4"/>
              <w:right w:val="single" w:color="CCCCCC" w:sz="4"/>
            </w:tcBorders>
            <w:shd w:fill="1F3D7A" w:val="clear"/>
            <w:tcMar>
              <w:top w:type="dxa" w:w="80"/>
              <w:left w:type="dxa" w:w="120"/>
              <w:bottom w:type="dxa" w:w="80"/>
              <w:right w:type="dxa" w:w="120"/>
            </w:tcMar>
          </w:tcPr>
          <w:p>
            <w:r>
              <w:rPr>
                <w:rFonts w:ascii="Arial" w:cs="Arial" w:eastAsia="Arial" w:hAnsi="Arial"/>
                <w:b/>
                <w:bCs/>
                <w:color w:val="FFFFFF"/>
                <w:sz w:val="20"/>
                <w:szCs w:val="20"/>
              </w:rPr>
              <w:t xml:space="preserve">Projected Impact</w:t>
            </w:r>
          </w:p>
        </w:tc>
      </w:tr>
      <w:tr>
        <w:tc>
          <w:tcPr>
            <w:tcW w:type="dxa" w:w="200"/>
            <w:tcBorders>
              <w:top w:val="single" w:color="CCCCCC" w:sz="4"/>
              <w:left w:val="single" w:color="CCCCCC" w:sz="4"/>
              <w:bottom w:val="single" w:color="CCCCCC" w:sz="4"/>
              <w:right w:val="single" w:color="CCCCCC" w:sz="4"/>
            </w:tcBorders>
            <w:shd w:fill="FFF8E7" w:val="clear"/>
            <w:tcMar>
              <w:top w:type="dxa" w:w="80"/>
              <w:left w:type="dxa" w:w="100"/>
              <w:bottom w:type="dxa" w:w="80"/>
              <w:right w:type="dxa" w:w="100"/>
            </w:tcMar>
          </w:tcPr>
          <w:p>
            <w:pPr>
              <w:jc w:val="center"/>
            </w:pPr>
            <w:r>
              <w:rPr>
                <w:rFonts w:ascii="Arial" w:cs="Arial" w:eastAsia="Arial" w:hAnsi="Arial"/>
                <w:b/>
                <w:bCs/>
                <w:color w:val="C9A84C"/>
                <w:sz w:val="22"/>
                <w:szCs w:val="22"/>
              </w:rPr>
              <w:t xml:space="preserve">1</w:t>
            </w:r>
          </w:p>
        </w:tc>
        <w:tc>
          <w:tcPr>
            <w:tcW w:type="dxa" w:w="250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b/>
                <w:bCs/>
                <w:color w:val="1F3D7A"/>
                <w:sz w:val="20"/>
                <w:szCs w:val="20"/>
              </w:rPr>
              <w:t xml:space="preserve">Implement Dynamic Reorder Points</w:t>
            </w:r>
          </w:p>
        </w:tc>
        <w:tc>
          <w:tcPr>
            <w:tcW w:type="dxa" w:w="350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color w:val="333333"/>
                <w:sz w:val="20"/>
                <w:szCs w:val="20"/>
              </w:rPr>
              <w:t xml:space="preserve">Set warehouse-specific reorder thresholds based on historical stockout risk frequency. Pune and Kolkata have the highest risk (249 events each) and need automated alerts triggered when Stock_On_Hand falls below 1.5x average Actual_Demand.</w:t>
            </w:r>
          </w:p>
        </w:tc>
        <w:tc>
          <w:tcPr>
            <w:tcW w:type="dxa" w:w="316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b/>
                <w:bCs/>
                <w:color w:val="1E7B34"/>
                <w:sz w:val="20"/>
                <w:szCs w:val="20"/>
              </w:rPr>
              <w:t xml:space="preserve">Reduce Stockout Risk events by ~35-40%, preventing an estimated Rs. 8-10 Crore in lost annual sales from unmet demand.</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bCs/>
                <w:color w:val="C9A84C"/>
                <w:sz w:val="22"/>
                <w:szCs w:val="22"/>
              </w:rPr>
              <w:t xml:space="preserve">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D7A"/>
                <w:sz w:val="20"/>
                <w:szCs w:val="20"/>
              </w:rPr>
              <w:t xml:space="preserve">Liquidate / Cap Overstock Items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purchase order caps and promotional discounts for the top 5 overstock products: Trouser (107 instances), Blazer (98), Midi Dress (96), Formal Shirt (92), Hoodie (88). Run end-of-season clearance.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7B34"/>
                <w:sz w:val="20"/>
                <w:szCs w:val="20"/>
              </w:rPr>
              <w:t xml:space="preserve">Recover Rs. 10-12 Crore of the Rs. 32.24 Crore wasted holding cost. Reduce overall holding cost by 15-20% within 6 months.</w:t>
            </w:r>
          </w:p>
        </w:tc>
      </w:tr>
      <w:tr>
        <w:tc>
          <w:tcPr>
            <w:tcW w:type="dxa" w:w="200"/>
            <w:tcBorders>
              <w:top w:val="single" w:color="CCCCCC" w:sz="4"/>
              <w:left w:val="single" w:color="CCCCCC" w:sz="4"/>
              <w:bottom w:val="single" w:color="CCCCCC" w:sz="4"/>
              <w:right w:val="single" w:color="CCCCCC" w:sz="4"/>
            </w:tcBorders>
            <w:shd w:fill="FFF8E7" w:val="clear"/>
            <w:tcMar>
              <w:top w:type="dxa" w:w="80"/>
              <w:left w:type="dxa" w:w="100"/>
              <w:bottom w:type="dxa" w:w="80"/>
              <w:right w:type="dxa" w:w="100"/>
            </w:tcMar>
          </w:tcPr>
          <w:p>
            <w:pPr>
              <w:jc w:val="center"/>
            </w:pPr>
            <w:r>
              <w:rPr>
                <w:rFonts w:ascii="Arial" w:cs="Arial" w:eastAsia="Arial" w:hAnsi="Arial"/>
                <w:b/>
                <w:bCs/>
                <w:color w:val="C9A84C"/>
                <w:sz w:val="22"/>
                <w:szCs w:val="22"/>
              </w:rPr>
              <w:t xml:space="preserve">3</w:t>
            </w:r>
          </w:p>
        </w:tc>
        <w:tc>
          <w:tcPr>
            <w:tcW w:type="dxa" w:w="250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b/>
                <w:bCs/>
                <w:color w:val="1F3D7A"/>
                <w:sz w:val="20"/>
                <w:szCs w:val="20"/>
              </w:rPr>
              <w:t xml:space="preserve">ML-Based Demand Forecasting</w:t>
            </w:r>
          </w:p>
        </w:tc>
        <w:tc>
          <w:tcPr>
            <w:tcW w:type="dxa" w:w="350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color w:val="333333"/>
                <w:sz w:val="20"/>
                <w:szCs w:val="20"/>
              </w:rPr>
              <w:t xml:space="preserve">Replace rule-based forecasting with an ML model (XGBoost / LSTM) trained on historical demand, seasonality, and category trends. Prioritize Blazer (85.29%), Pencil Skirt (85.49%), Saree (85.58%) as pilot products.</w:t>
            </w:r>
          </w:p>
        </w:tc>
        <w:tc>
          <w:tcPr>
            <w:tcW w:type="dxa" w:w="316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b/>
                <w:bCs/>
                <w:color w:val="1E7B34"/>
                <w:sz w:val="20"/>
                <w:szCs w:val="20"/>
              </w:rPr>
              <w:t xml:space="preserve">Improve forecast accuracy from 86.87% to ~93-95%, reducing the demand gap. This could shift 15-18% of inventory from Stockout/Overstock to Balanced status, saving Rs. 5-7 Crore annually.</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bCs/>
                <w:color w:val="C9A84C"/>
                <w:sz w:val="22"/>
                <w:szCs w:val="22"/>
              </w:rPr>
              <w:t xml:space="preserve">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D7A"/>
                <w:sz w:val="20"/>
                <w:szCs w:val="20"/>
              </w:rPr>
              <w:t xml:space="preserve">Seasonal Inventory Pre-positioning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Summer (26.17%) and Festive (25.62%) seasons drive 51.79% of revenue. Pre-stock priority SKUs 6-8 weeks before season onset, especially Formal Wear (Rs. 97.22 Cr — top category) in high-revenue warehouses: Delhi, Ahmedabad, Kolkata.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7B34"/>
                <w:sz w:val="20"/>
                <w:szCs w:val="20"/>
              </w:rPr>
              <w:t xml:space="preserve">Capture 5-8% additional revenue uplift during peak seasons. Estimated value: Rs. 4-6 Crore per year from reduced stockout during Summer and Festive peaks.</w:t>
            </w:r>
          </w:p>
        </w:tc>
      </w:tr>
      <w:tr>
        <w:tc>
          <w:tcPr>
            <w:tcW w:type="dxa" w:w="200"/>
            <w:tcBorders>
              <w:top w:val="single" w:color="CCCCCC" w:sz="4"/>
              <w:left w:val="single" w:color="CCCCCC" w:sz="4"/>
              <w:bottom w:val="single" w:color="CCCCCC" w:sz="4"/>
              <w:right w:val="single" w:color="CCCCCC" w:sz="4"/>
            </w:tcBorders>
            <w:shd w:fill="FFF8E7" w:val="clear"/>
            <w:tcMar>
              <w:top w:type="dxa" w:w="80"/>
              <w:left w:type="dxa" w:w="100"/>
              <w:bottom w:type="dxa" w:w="80"/>
              <w:right w:type="dxa" w:w="100"/>
            </w:tcMar>
          </w:tcPr>
          <w:p>
            <w:pPr>
              <w:jc w:val="center"/>
            </w:pPr>
            <w:r>
              <w:rPr>
                <w:rFonts w:ascii="Arial" w:cs="Arial" w:eastAsia="Arial" w:hAnsi="Arial"/>
                <w:b/>
                <w:bCs/>
                <w:color w:val="C9A84C"/>
                <w:sz w:val="22"/>
                <w:szCs w:val="22"/>
              </w:rPr>
              <w:t xml:space="preserve">5</w:t>
            </w:r>
          </w:p>
        </w:tc>
        <w:tc>
          <w:tcPr>
            <w:tcW w:type="dxa" w:w="250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b/>
                <w:bCs/>
                <w:color w:val="1F3D7A"/>
                <w:sz w:val="20"/>
                <w:szCs w:val="20"/>
              </w:rPr>
              <w:t xml:space="preserve">Reduce Manyavar's Holding Cost</w:t>
            </w:r>
          </w:p>
        </w:tc>
        <w:tc>
          <w:tcPr>
            <w:tcW w:type="dxa" w:w="350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color w:val="333333"/>
                <w:sz w:val="20"/>
                <w:szCs w:val="20"/>
              </w:rPr>
              <w:t xml:space="preserve">Manyavar has the highest holding cost (Rs. 6.32 Cr) and the lowest forecast accuracy (85.95%). Audit their procurement cycle, reduce order batch sizes by 15-20%, and adopt just-in-time ordering for slow-moving SKUs.</w:t>
            </w:r>
          </w:p>
        </w:tc>
        <w:tc>
          <w:tcPr>
            <w:tcW w:type="dxa" w:w="316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b/>
                <w:bCs/>
                <w:color w:val="1E7B34"/>
                <w:sz w:val="20"/>
                <w:szCs w:val="20"/>
              </w:rPr>
              <w:t xml:space="preserve">Save Rs. 1.0-1.5 Crore in annual holding costs for Manyavar alone. Replicate model across the top 3 high-holding-cost companies for a combined Rs. 4-5 Crore saving.</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bCs/>
                <w:color w:val="C9A84C"/>
                <w:sz w:val="22"/>
                <w:szCs w:val="22"/>
              </w:rPr>
              <w:t xml:space="preserve">6</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D7A"/>
                <w:sz w:val="20"/>
                <w:szCs w:val="20"/>
              </w:rPr>
              <w:t xml:space="preserve">Consecutive Stockout Alert System</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 an automated monitoring system using the LAG() window query logic from this project to flag any warehouse that records 2+ consecutive stockout risk events. Trigger same-day restocking escalation.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7B34"/>
                <w:sz w:val="20"/>
                <w:szCs w:val="20"/>
              </w:rPr>
              <w:t xml:space="preserve">Eliminate systemic consecutive stockout events. Estimated prevention of Rs. 3-5 Crore in annual revenue leakage from chronic undersupply across affected warehouses.</w:t>
            </w:r>
          </w:p>
        </w:tc>
      </w:tr>
      <w:tr>
        <w:tc>
          <w:tcPr>
            <w:tcW w:type="dxa" w:w="200"/>
            <w:tcBorders>
              <w:top w:val="single" w:color="CCCCCC" w:sz="4"/>
              <w:left w:val="single" w:color="CCCCCC" w:sz="4"/>
              <w:bottom w:val="single" w:color="CCCCCC" w:sz="4"/>
              <w:right w:val="single" w:color="CCCCCC" w:sz="4"/>
            </w:tcBorders>
            <w:shd w:fill="FFF8E7" w:val="clear"/>
            <w:tcMar>
              <w:top w:type="dxa" w:w="80"/>
              <w:left w:type="dxa" w:w="100"/>
              <w:bottom w:type="dxa" w:w="80"/>
              <w:right w:type="dxa" w:w="100"/>
            </w:tcMar>
          </w:tcPr>
          <w:p>
            <w:pPr>
              <w:jc w:val="center"/>
            </w:pPr>
            <w:r>
              <w:rPr>
                <w:rFonts w:ascii="Arial" w:cs="Arial" w:eastAsia="Arial" w:hAnsi="Arial"/>
                <w:b/>
                <w:bCs/>
                <w:color w:val="C9A84C"/>
                <w:sz w:val="22"/>
                <w:szCs w:val="22"/>
              </w:rPr>
              <w:t xml:space="preserve">7</w:t>
            </w:r>
          </w:p>
        </w:tc>
        <w:tc>
          <w:tcPr>
            <w:tcW w:type="dxa" w:w="250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b/>
                <w:bCs/>
                <w:color w:val="1F3D7A"/>
                <w:sz w:val="20"/>
                <w:szCs w:val="20"/>
              </w:rPr>
              <w:t xml:space="preserve">Category Portfolio Rebalancing</w:t>
            </w:r>
          </w:p>
        </w:tc>
        <w:tc>
          <w:tcPr>
            <w:tcW w:type="dxa" w:w="350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color w:val="333333"/>
                <w:sz w:val="20"/>
                <w:szCs w:val="20"/>
              </w:rPr>
              <w:t xml:space="preserve">Casual Wear contributes only Rs. 29.14 Crore (9.5% of revenue) while consuming comparable holding costs. Review SKU rationalization — retain top 3 Casual Wear products by revenue and discontinue/reduce low performers.</w:t>
            </w:r>
          </w:p>
        </w:tc>
        <w:tc>
          <w:tcPr>
            <w:tcW w:type="dxa" w:w="3160"/>
            <w:tcBorders>
              <w:top w:val="single" w:color="CCCCCC" w:sz="4"/>
              <w:left w:val="single" w:color="CCCCCC" w:sz="4"/>
              <w:bottom w:val="single" w:color="CCCCCC" w:sz="4"/>
              <w:right w:val="single" w:color="CCCCCC" w:sz="4"/>
            </w:tcBorders>
            <w:shd w:fill="FFF8E7" w:val="clear"/>
            <w:tcMar>
              <w:top w:type="dxa" w:w="80"/>
              <w:left w:type="dxa" w:w="120"/>
              <w:bottom w:type="dxa" w:w="80"/>
              <w:right w:type="dxa" w:w="120"/>
            </w:tcMar>
          </w:tcPr>
          <w:p>
            <w:r>
              <w:rPr>
                <w:rFonts w:ascii="Arial" w:cs="Arial" w:eastAsia="Arial" w:hAnsi="Arial"/>
                <w:b/>
                <w:bCs/>
                <w:color w:val="1E7B34"/>
                <w:sz w:val="20"/>
                <w:szCs w:val="20"/>
              </w:rPr>
              <w:t xml:space="preserve">Free up ~Rs. 5-6 Crore in Casual Wear holding costs annually. Reinvest into Formal Wear and Ethnic Wear which together drive 55.4% of total revenue.</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bCs/>
                <w:color w:val="C9A84C"/>
                <w:sz w:val="22"/>
                <w:szCs w:val="22"/>
              </w:rPr>
              <w:t xml:space="preserve">8</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D7A"/>
                <w:sz w:val="20"/>
                <w:szCs w:val="20"/>
              </w:rPr>
              <w:t xml:space="preserve">Warehouse Capacity Optimization — Chennai</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Chennai generates the lowest revenue (Rs. 35.75 Cr, 11.6%) but has the lowest stockout risk (219), suggesting underutilization. Explore cross-docking to serve nearby Hyderabad demand gaps or increase SKU range.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7B34"/>
                <w:sz w:val="20"/>
                <w:szCs w:val="20"/>
              </w:rPr>
              <w:t xml:space="preserve">Potential 8-12% revenue uplift for Chennai warehouse, adding Rs. 3-4 Crore annually. Reduces over-pressure on Pune and Kolkata warehouses simultaneously.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D7A" w:val="clear"/>
            <w:tcMar>
              <w:top w:type="dxa" w:w="200"/>
              <w:left w:type="dxa" w:w="280"/>
              <w:bottom w:type="dxa" w:w="200"/>
              <w:right w:type="dxa" w:w="280"/>
            </w:tcMar>
          </w:tcPr>
          <w:p>
            <w:pPr>
              <w:spacing w:after="40" w:before="80"/>
              <w:jc w:val="center"/>
            </w:pPr>
            <w:r>
              <w:rPr>
                <w:rFonts w:ascii="Arial" w:cs="Arial" w:eastAsia="Arial" w:hAnsi="Arial"/>
                <w:b/>
                <w:bCs/>
                <w:color w:val="FFFFFF"/>
                <w:sz w:val="24"/>
                <w:szCs w:val="24"/>
              </w:rPr>
              <w:t xml:space="preserve">COMBINED PROJECTED ANNUAL IMPACT IF ALL RECOMMENDATIONS FOLLOWED</w:t>
            </w:r>
          </w:p>
          <w:p>
            <w:pPr>
              <w:spacing w:after="80" w:before="20"/>
              <w:jc w:val="center"/>
            </w:pPr>
            <w:r>
              <w:rPr>
                <w:rFonts w:ascii="Arial" w:cs="Arial" w:eastAsia="Arial" w:hAnsi="Arial"/>
                <w:b/>
                <w:bCs/>
                <w:color w:val="C9A84C"/>
                <w:sz w:val="28"/>
                <w:szCs w:val="28"/>
              </w:rPr>
              <w:t xml:space="preserve">Rs. 38 - 50 Crore in Combined Revenue Recovery + Cost Savings per Year</w:t>
            </w:r>
          </w:p>
        </w:tc>
      </w:tr>
    </w:tbl>
    <w:p>
      <w:pPr>
        <w:spacing w:after="320" w:before="0"/>
      </w:pPr>
    </w:p>
    <w:p>
      <w:pPr>
        <w:pStyle w:val="Heading1"/>
        <w:pBdr>
          <w:bottom w:val="single" w:color="2E75B6" w:sz="6" w:space="6"/>
        </w:pBdr>
        <w:spacing w:after="120" w:before="360"/>
      </w:pPr>
      <w:r>
        <w:rPr>
          <w:rFonts w:ascii="Arial" w:cs="Arial" w:eastAsia="Arial" w:hAnsi="Arial"/>
          <w:b/>
          <w:bCs/>
          <w:color w:val="1F3D7A"/>
          <w:sz w:val="36"/>
          <w:szCs w:val="36"/>
        </w:rPr>
        <w:t xml:space="preserve">CONCLUSION</w:t>
      </w:r>
    </w:p>
    <w:p>
      <w:pPr>
        <w:spacing w:after="100" w:before="60"/>
      </w:pPr>
      <w:r>
        <w:rPr>
          <w:rFonts w:ascii="Arial" w:cs="Arial" w:eastAsia="Arial" w:hAnsi="Arial"/>
          <w:b w:val="false"/>
          <w:bCs w:val="false"/>
          <w:i w:val="false"/>
          <w:iCs w:val="false"/>
          <w:color w:val="222222"/>
          <w:sz w:val="22"/>
          <w:szCs w:val="22"/>
        </w:rPr>
        <w:t xml:space="preserve">This end-to-end supply chain analytics project successfully demonstrated the power of combining Python EDA, SQL analysis, and Power BI dashboarding to solve real business problems in fashion retail inventory management. The analysis of 5,000 records across 10 companies, 8 warehouses, and 5 categories revealed that 78.18% of inventory was non-optimal, Rs. 32.24 Crore of holding costs were wastefully tied to overstock, and forecast accuracy gaps were directly traceable to specific products and companies.</w:t>
      </w:r>
    </w:p>
    <w:p>
      <w:pPr>
        <w:spacing w:after="160" w:before="0"/>
      </w:pPr>
    </w:p>
    <w:p>
      <w:pPr>
        <w:spacing w:after="100" w:before="60"/>
      </w:pPr>
      <w:r>
        <w:rPr>
          <w:rFonts w:ascii="Arial" w:cs="Arial" w:eastAsia="Arial" w:hAnsi="Arial"/>
          <w:b w:val="false"/>
          <w:bCs w:val="false"/>
          <w:i w:val="false"/>
          <w:iCs w:val="false"/>
          <w:color w:val="222222"/>
          <w:sz w:val="22"/>
          <w:szCs w:val="22"/>
        </w:rPr>
        <w:t xml:space="preserve">By implementing the 8 data-driven recommendations — particularly ML-based demand forecasting, dynamic reorder points, and seasonal pre-positioning — the business can unlock Rs. 38 to 50 Crore in annual value, transform inventory health from 21.8% balanced to a projected 55-65% balanced state, and build a resilient, insight-driven supply chain for sustained growth.</w:t>
      </w:r>
    </w:p>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200"/>
              <w:left w:type="dxa" w:w="280"/>
              <w:bottom w:type="dxa" w:w="200"/>
              <w:right w:type="dxa" w:w="280"/>
            </w:tcMar>
          </w:tcPr>
          <w:p>
            <w:pPr>
              <w:jc w:val="center"/>
            </w:pPr>
            <w:r>
              <w:rPr>
                <w:rFonts w:ascii="Arial" w:cs="Arial" w:eastAsia="Arial" w:hAnsi="Arial"/>
                <w:i/>
                <w:iCs/>
                <w:color w:val="2E75B6"/>
                <w:sz w:val="20"/>
                <w:szCs w:val="20"/>
              </w:rPr>
              <w:t xml:space="preserve">Tools Used: Python (Pandas, Matplotlib, Seaborn)  •  SQL (MySQL / Advanced Window Functions)  •  Power BI</w:t>
            </w:r>
          </w:p>
          <w:p>
            <w:pPr>
              <w:jc w:val="center"/>
            </w:pPr>
            <w:r>
              <w:rPr>
                <w:rFonts w:ascii="Arial" w:cs="Arial" w:eastAsia="Arial" w:hAnsi="Arial"/>
                <w:i/>
                <w:iCs/>
                <w:color w:val="555555"/>
                <w:sz w:val="20"/>
                <w:szCs w:val="20"/>
              </w:rPr>
              <w:t xml:space="preserve">Dataset: Fashion Supply Chain  •  Records: 5,000  •  Period: 2022-2023  •  Scope: Pan-India</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pPr>
    <w:r>
      <w:rPr>
        <w:rFonts w:ascii="Arial" w:cs="Arial" w:eastAsia="Arial" w:hAnsi="Arial"/>
        <w:color w:val="888888"/>
        <w:sz w:val="18"/>
        <w:szCs w:val="18"/>
      </w:rPr>
      <w:t xml:space="preserve">Confidential  |  Fashion Supply Chain Analytics  |  Page </w:t>
    </w:r>
    <w:r>
      <w:rPr>
        <w:rFonts w:ascii="Arial" w:cs="Arial" w:eastAsia="Arial" w:hAnsi="Arial"/>
        <w:color w:val="1F3D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0"/>
      <w:gridCol w:w="2720"/>
    </w:tblGrid>
    <w:tr>
      <w:tc>
        <w:tcPr>
          <w:tcW w:type="dxa" w:w="7000"/>
          <w:tcBorders>
            <w:top w:val="none" w:color="FFFFFF" w:sz="0"/>
            <w:left w:val="none" w:color="FFFFFF" w:sz="0"/>
            <w:bottom w:val="none" w:color="FFFFFF" w:sz="0"/>
            <w:right w:val="none" w:color="FFFFFF" w:sz="0"/>
          </w:tcBorders>
          <w:shd w:fill="1F3D7A" w:val="clear"/>
          <w:tcMar>
            <w:top w:type="dxa" w:w="120"/>
            <w:left w:type="dxa" w:w="200"/>
            <w:bottom w:type="dxa" w:w="120"/>
            <w:right w:type="dxa" w:w="200"/>
          </w:tcMar>
        </w:tcPr>
        <w:p>
          <w:r>
            <w:rPr>
              <w:rFonts w:ascii="Arial" w:cs="Arial" w:eastAsia="Arial" w:hAnsi="Arial"/>
              <w:b/>
              <w:bCs/>
              <w:color w:val="FFFFFF"/>
              <w:sz w:val="20"/>
              <w:szCs w:val="20"/>
            </w:rPr>
            <w:t xml:space="preserve">  FASHION SUPPLY CHAIN  |  END-TO-END ANALYTICS REPORT</w:t>
          </w:r>
        </w:p>
      </w:tc>
      <w:tc>
        <w:tcPr>
          <w:tcW w:type="dxa" w:w="2720"/>
          <w:tcBorders>
            <w:top w:val="none" w:color="FFFFFF" w:sz="0"/>
            <w:left w:val="none" w:color="FFFFFF" w:sz="0"/>
            <w:bottom w:val="none" w:color="FFFFFF" w:sz="0"/>
            <w:right w:val="none" w:color="FFFFFF" w:sz="0"/>
          </w:tcBorders>
          <w:shd w:fill="C9A84C" w:val="clear"/>
          <w:tcMar>
            <w:top w:type="dxa" w:w="120"/>
            <w:left w:type="dxa" w:w="200"/>
            <w:bottom w:type="dxa" w:w="120"/>
            <w:right w:type="dxa" w:w="200"/>
          </w:tcMar>
        </w:tcPr>
        <w:p>
          <w:pPr>
            <w:jc w:val="right"/>
          </w:pPr>
          <w:r>
            <w:rPr>
              <w:rFonts w:ascii="Arial" w:cs="Arial" w:eastAsia="Arial" w:hAnsi="Arial"/>
              <w:color w:val="FFFFFF"/>
              <w:sz w:val="18"/>
              <w:szCs w:val="18"/>
            </w:rPr>
            <w:t xml:space="preserve">Prepared: May 2026  </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D7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2026-05-20T18:14:15.335Z</dcterms:created>
  <dcterms:modified xsi:type="dcterms:W3CDTF">2026-05-20T18:14:15.336Z</dcterms:modified>
</cp:coreProperties>
</file>

<file path=docProps/custom.xml><?xml version="1.0" encoding="utf-8"?>
<Properties xmlns="http://schemas.openxmlformats.org/officeDocument/2006/custom-properties" xmlns:vt="http://schemas.openxmlformats.org/officeDocument/2006/docPropsVTypes"/>
</file>