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6"/>
              <w:left w:val="single" w:color="1B4F8A" w:sz="6"/>
              <w:bottom w:val="single" w:color="1B4F8A" w:sz="6"/>
              <w:right w:val="single" w:color="1B4F8A" w:sz="6"/>
            </w:tcBorders>
            <w:shd w:fill="1B4F8A" w:val="clear"/>
            <w:tcMar>
              <w:top w:type="dxa" w:w="600"/>
              <w:left w:type="dxa" w:w="600"/>
              <w:bottom w:type="dxa" w:w="600"/>
              <w:right w:type="dxa" w:w="600"/>
            </w:tcMar>
          </w:tcPr>
          <w:p>
            <w:pPr>
              <w:spacing w:after="120"/>
              <w:jc w:val="center"/>
            </w:pPr>
            <w:r>
              <w:rPr>
                <w:rFonts w:ascii="Arial" w:cs="Arial" w:eastAsia="Arial" w:hAnsi="Arial"/>
                <w:b/>
                <w:bCs/>
                <w:color w:val="FFFFFF"/>
                <w:sz w:val="48"/>
                <w:szCs w:val="48"/>
              </w:rPr>
              <w:t xml:space="preserve">WALMART SALES ANALYTICS</w:t>
            </w:r>
          </w:p>
          <w:p>
            <w:pPr>
              <w:spacing w:after="200"/>
              <w:jc w:val="center"/>
            </w:pPr>
            <w:r>
              <w:rPr>
                <w:rFonts w:ascii="Arial" w:cs="Arial" w:eastAsia="Arial" w:hAnsi="Arial"/>
                <w:i/>
                <w:iCs/>
                <w:color w:val="A8C4E5"/>
                <w:sz w:val="28"/>
                <w:szCs w:val="28"/>
              </w:rPr>
              <w:t xml:space="preserve">End-to-End Data Analysis Report</w:t>
            </w:r>
          </w:p>
          <w:p>
            <w:pPr>
              <w:spacing w:after="100"/>
              <w:jc w:val="center"/>
            </w:pPr>
            <w:r>
              <w:rPr>
                <w:rFonts w:ascii="Arial" w:cs="Arial" w:eastAsia="Arial" w:hAnsi="Arial"/>
                <w:color w:val="C8DCF0"/>
                <w:sz w:val="20"/>
                <w:szCs w:val="20"/>
              </w:rPr>
              <w:t xml:space="preserve">Revenue Performance  |  Customer Behavior  |  Branch Intelligence</w:t>
            </w:r>
          </w:p>
          <w:p>
            <w:pPr>
              <w:jc w:val="center"/>
            </w:pPr>
            <w:r>
              <w:rPr>
                <w:rFonts w:ascii="Arial" w:cs="Arial" w:eastAsia="Arial" w:hAnsi="Arial"/>
                <w:color w:val="A0BCDA"/>
                <w:sz w:val="18"/>
                <w:szCs w:val="18"/>
              </w:rPr>
              <w:t xml:space="preserve">Prepared by: [Your Name]  |  May 2026  |  Tools: Python, MySQL, Pandas, Seaborn</w:t>
            </w:r>
          </w:p>
        </w:tc>
      </w:tr>
    </w:tbl>
    <w:p>
      <w:pPr>
        <w:spacing w:after="400"/>
      </w:pPr>
      <w:r>
        <w:t xml:space="preserve"/>
      </w:r>
    </w:p>
    <w:p>
      <w:pPr>
        <w:pStyle w:val="Heading1"/>
        <w:pBdr>
          <w:bottom w:val="single" w:color="2E75B6" w:sz="12" w:space="4"/>
        </w:pBdr>
        <w:spacing w:after="160" w:before="400"/>
      </w:pPr>
      <w:r>
        <w:rPr>
          <w:rFonts w:ascii="Arial" w:cs="Arial" w:eastAsia="Arial" w:hAnsi="Arial"/>
          <w:b/>
          <w:bCs/>
          <w:color w:val="1B4F8A"/>
          <w:sz w:val="28"/>
          <w:szCs w:val="28"/>
        </w:rPr>
        <w:t xml:space="preserve">EXECUTIVE SUMMARY</w:t>
      </w:r>
    </w:p>
    <w:p>
      <w:pPr>
        <w:spacing w:after="120"/>
      </w:pPr>
      <w:r>
        <w:rPr>
          <w:rFonts w:ascii="Arial" w:cs="Arial" w:eastAsia="Arial" w:hAnsi="Arial"/>
          <w:color w:val="595959"/>
          <w:sz w:val="20"/>
          <w:szCs w:val="20"/>
        </w:rPr>
        <w:t xml:space="preserve">This report presents a comprehensive end-to-end analysis of 9,969 Walmart sales transactions spanning 100 branches across 98 U.S. cities from 2019 to 2023. Using Python for data cleaning, exploratory data analysis (EDA), and feature engineering, and MySQL for business-critical SQL queries, this analysis surfaces the key revenue drivers, operational inefficiencies, and strategic opportunities within Walmart's retail network.</w:t>
      </w:r>
    </w:p>
    <w:p>
      <w:pPr>
        <w:spacing w:after="80"/>
      </w:pPr>
      <w:r>
        <w:t xml:space="preserve"/>
      </w:r>
    </w:p>
    <w:p>
      <w:pPr>
        <w:spacing w:after="120"/>
      </w:pPr>
      <w:r>
        <w:rPr>
          <w:rFonts w:ascii="Arial" w:cs="Arial" w:eastAsia="Arial" w:hAnsi="Arial"/>
          <w:b/>
          <w:bCs/>
          <w:color w:val="1A1A1A"/>
          <w:sz w:val="20"/>
          <w:szCs w:val="20"/>
        </w:rPr>
        <w:t xml:space="preserve">The primary business problem investigated was: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4"/>
              <w:bottom w:val="single" w:color="2E75B6" w:sz="6"/>
              <w:right w:val="single" w:color="2E75B6" w:sz="6"/>
            </w:tcBorders>
            <w:shd w:fill="D6E4F7" w:val="clear"/>
            <w:tcMar>
              <w:top w:type="dxa" w:w="120"/>
              <w:left w:type="dxa" w:w="240"/>
              <w:bottom w:type="dxa" w:w="120"/>
              <w:right w:type="dxa" w:w="240"/>
            </w:tcMar>
          </w:tcPr>
          <w:p>
            <w:r>
              <w:rPr>
                <w:rFonts w:ascii="Arial" w:cs="Arial" w:eastAsia="Arial" w:hAnsi="Arial"/>
                <w:b/>
                <w:bCs/>
                <w:i/>
                <w:iCs/>
                <w:color w:val="1B4F8A"/>
                <w:sz w:val="22"/>
                <w:szCs w:val="22"/>
              </w:rPr>
              <w:t xml:space="preserve">"Which Walmart branches are experiencing the steepest year-over-year revenue decline from 2022 to 2023, by how much, and what operational patterns drive this decline?"</w:t>
            </w:r>
          </w:p>
        </w:tc>
      </w:tr>
    </w:tbl>
    <w:p>
      <w:pPr>
        <w:spacing w:after="200"/>
      </w:pPr>
      <w:r>
        <w:t xml:space="preserve"/>
      </w:r>
    </w:p>
    <w:p>
      <w:pPr>
        <w:spacing w:after="120"/>
      </w:pPr>
      <w:r>
        <w:rPr>
          <w:rFonts w:ascii="Arial" w:cs="Arial" w:eastAsia="Arial" w:hAnsi="Arial"/>
          <w:b/>
          <w:bCs/>
          <w:color w:val="1B4F8A"/>
          <w:sz w:val="18"/>
          <w:szCs w:val="18"/>
        </w:rPr>
        <w:t xml:space="preserve">KEY PERFORMANCE INDICATORS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single" w:color="2E75B6" w:sz="6"/>
              <w:left w:val="single" w:color="2E75B6" w:sz="6"/>
              <w:bottom w:val="single" w:color="2E75B6" w:sz="6"/>
              <w:right w:val="single" w:color="2E75B6" w:sz="6"/>
            </w:tcBorders>
            <w:shd w:fill="1B4F8A" w:val="clear"/>
            <w:tcMar>
              <w:top w:type="dxa" w:w="120"/>
              <w:left w:type="dxa" w:w="100"/>
              <w:bottom w:type="dxa" w:w="120"/>
              <w:right w:type="dxa" w:w="100"/>
            </w:tcMar>
          </w:tcPr>
          <w:p>
            <w:pPr>
              <w:jc w:val="center"/>
            </w:pPr>
            <w:r>
              <w:rPr>
                <w:rFonts w:ascii="Arial" w:cs="Arial" w:eastAsia="Arial" w:hAnsi="Arial"/>
                <w:b/>
                <w:bCs/>
                <w:color w:val="FFD966"/>
                <w:sz w:val="28"/>
                <w:szCs w:val="28"/>
              </w:rPr>
              <w:t xml:space="preserve">$1.21M</w:t>
            </w:r>
          </w:p>
          <w:p>
            <w:pPr>
              <w:jc w:val="center"/>
            </w:pPr>
            <w:r>
              <w:rPr>
                <w:rFonts w:ascii="Arial" w:cs="Arial" w:eastAsia="Arial" w:hAnsi="Arial"/>
                <w:b/>
                <w:bCs/>
                <w:color w:val="FFFFFF"/>
                <w:sz w:val="16"/>
                <w:szCs w:val="16"/>
              </w:rPr>
              <w:t xml:space="preserve">Total Revenue</w:t>
            </w:r>
          </w:p>
          <w:p>
            <w:pPr>
              <w:jc w:val="center"/>
            </w:pPr>
            <w:r>
              <w:rPr>
                <w:rFonts w:ascii="Arial" w:cs="Arial" w:eastAsia="Arial" w:hAnsi="Arial"/>
                <w:i/>
                <w:iCs/>
                <w:color w:val="A8C4E5"/>
                <w:sz w:val="14"/>
                <w:szCs w:val="14"/>
              </w:rPr>
              <w:t xml:space="preserve">Across 9,969 txns</w:t>
            </w:r>
          </w:p>
        </w:tc>
        <w:tc>
          <w:tcPr>
            <w:tcW w:type="dxa" w:w="1870"/>
            <w:tcBorders>
              <w:top w:val="single" w:color="2E75B6" w:sz="6"/>
              <w:left w:val="single" w:color="2E75B6" w:sz="6"/>
              <w:bottom w:val="single" w:color="2E75B6" w:sz="6"/>
              <w:right w:val="single" w:color="2E75B6" w:sz="6"/>
            </w:tcBorders>
            <w:shd w:fill="1B4F8A" w:val="clear"/>
            <w:tcMar>
              <w:top w:type="dxa" w:w="120"/>
              <w:left w:type="dxa" w:w="100"/>
              <w:bottom w:type="dxa" w:w="120"/>
              <w:right w:type="dxa" w:w="100"/>
            </w:tcMar>
          </w:tcPr>
          <w:p>
            <w:pPr>
              <w:jc w:val="center"/>
            </w:pPr>
            <w:r>
              <w:rPr>
                <w:rFonts w:ascii="Arial" w:cs="Arial" w:eastAsia="Arial" w:hAnsi="Arial"/>
                <w:b/>
                <w:bCs/>
                <w:color w:val="FFD966"/>
                <w:sz w:val="28"/>
                <w:szCs w:val="28"/>
              </w:rPr>
              <w:t xml:space="preserve">$476K</w:t>
            </w:r>
          </w:p>
          <w:p>
            <w:pPr>
              <w:jc w:val="center"/>
            </w:pPr>
            <w:r>
              <w:rPr>
                <w:rFonts w:ascii="Arial" w:cs="Arial" w:eastAsia="Arial" w:hAnsi="Arial"/>
                <w:b/>
                <w:bCs/>
                <w:color w:val="FFFFFF"/>
                <w:sz w:val="16"/>
                <w:szCs w:val="16"/>
              </w:rPr>
              <w:t xml:space="preserve">Total Profit</w:t>
            </w:r>
          </w:p>
          <w:p>
            <w:pPr>
              <w:jc w:val="center"/>
            </w:pPr>
            <w:r>
              <w:rPr>
                <w:rFonts w:ascii="Arial" w:cs="Arial" w:eastAsia="Arial" w:hAnsi="Arial"/>
                <w:i/>
                <w:iCs/>
                <w:color w:val="A8C4E5"/>
                <w:sz w:val="14"/>
                <w:szCs w:val="14"/>
              </w:rPr>
              <w:t xml:space="preserve">39.4% avg margin</w:t>
            </w:r>
          </w:p>
        </w:tc>
        <w:tc>
          <w:tcPr>
            <w:tcW w:type="dxa" w:w="1870"/>
            <w:tcBorders>
              <w:top w:val="single" w:color="2E75B6" w:sz="6"/>
              <w:left w:val="single" w:color="2E75B6" w:sz="6"/>
              <w:bottom w:val="single" w:color="2E75B6" w:sz="6"/>
              <w:right w:val="single" w:color="2E75B6" w:sz="6"/>
            </w:tcBorders>
            <w:shd w:fill="1B4F8A" w:val="clear"/>
            <w:tcMar>
              <w:top w:type="dxa" w:w="120"/>
              <w:left w:type="dxa" w:w="100"/>
              <w:bottom w:type="dxa" w:w="120"/>
              <w:right w:type="dxa" w:w="100"/>
            </w:tcMar>
          </w:tcPr>
          <w:p>
            <w:pPr>
              <w:jc w:val="center"/>
            </w:pPr>
            <w:r>
              <w:rPr>
                <w:rFonts w:ascii="Arial" w:cs="Arial" w:eastAsia="Arial" w:hAnsi="Arial"/>
                <w:b/>
                <w:bCs/>
                <w:color w:val="FFD966"/>
                <w:sz w:val="28"/>
                <w:szCs w:val="28"/>
              </w:rPr>
              <w:t xml:space="preserve">$121.35</w:t>
            </w:r>
          </w:p>
          <w:p>
            <w:pPr>
              <w:jc w:val="center"/>
            </w:pPr>
            <w:r>
              <w:rPr>
                <w:rFonts w:ascii="Arial" w:cs="Arial" w:eastAsia="Arial" w:hAnsi="Arial"/>
                <w:b/>
                <w:bCs/>
                <w:color w:val="FFFFFF"/>
                <w:sz w:val="16"/>
                <w:szCs w:val="16"/>
              </w:rPr>
              <w:t xml:space="preserve">Avg Txn Value</w:t>
            </w:r>
          </w:p>
          <w:p>
            <w:pPr>
              <w:jc w:val="center"/>
            </w:pPr>
            <w:r>
              <w:rPr>
                <w:rFonts w:ascii="Arial" w:cs="Arial" w:eastAsia="Arial" w:hAnsi="Arial"/>
                <w:i/>
                <w:iCs/>
                <w:color w:val="A8C4E5"/>
                <w:sz w:val="14"/>
                <w:szCs w:val="14"/>
              </w:rPr>
              <w:t xml:space="preserve">Median: $88</w:t>
            </w:r>
          </w:p>
        </w:tc>
        <w:tc>
          <w:tcPr>
            <w:tcW w:type="dxa" w:w="1870"/>
            <w:tcBorders>
              <w:top w:val="single" w:color="2E75B6" w:sz="6"/>
              <w:left w:val="single" w:color="2E75B6" w:sz="6"/>
              <w:bottom w:val="single" w:color="2E75B6" w:sz="6"/>
              <w:right w:val="single" w:color="2E75B6" w:sz="6"/>
            </w:tcBorders>
            <w:shd w:fill="1B4F8A" w:val="clear"/>
            <w:tcMar>
              <w:top w:type="dxa" w:w="120"/>
              <w:left w:type="dxa" w:w="100"/>
              <w:bottom w:type="dxa" w:w="120"/>
              <w:right w:type="dxa" w:w="100"/>
            </w:tcMar>
          </w:tcPr>
          <w:p>
            <w:pPr>
              <w:jc w:val="center"/>
            </w:pPr>
            <w:r>
              <w:rPr>
                <w:rFonts w:ascii="Arial" w:cs="Arial" w:eastAsia="Arial" w:hAnsi="Arial"/>
                <w:b/>
                <w:bCs/>
                <w:color w:val="FFD966"/>
                <w:sz w:val="28"/>
                <w:szCs w:val="28"/>
              </w:rPr>
              <w:t xml:space="preserve">5.83 / 10</w:t>
            </w:r>
          </w:p>
          <w:p>
            <w:pPr>
              <w:jc w:val="center"/>
            </w:pPr>
            <w:r>
              <w:rPr>
                <w:rFonts w:ascii="Arial" w:cs="Arial" w:eastAsia="Arial" w:hAnsi="Arial"/>
                <w:b/>
                <w:bCs/>
                <w:color w:val="FFFFFF"/>
                <w:sz w:val="16"/>
                <w:szCs w:val="16"/>
              </w:rPr>
              <w:t xml:space="preserve">Avg Rating</w:t>
            </w:r>
          </w:p>
          <w:p>
            <w:pPr>
              <w:jc w:val="center"/>
            </w:pPr>
            <w:r>
              <w:rPr>
                <w:rFonts w:ascii="Arial" w:cs="Arial" w:eastAsia="Arial" w:hAnsi="Arial"/>
                <w:i/>
                <w:iCs/>
                <w:color w:val="A8C4E5"/>
                <w:sz w:val="14"/>
                <w:szCs w:val="14"/>
              </w:rPr>
              <w:t xml:space="preserve">35.4% rate ≥7</w:t>
            </w:r>
          </w:p>
        </w:tc>
        <w:tc>
          <w:tcPr>
            <w:tcW w:type="dxa" w:w="1880"/>
            <w:tcBorders>
              <w:top w:val="single" w:color="2E75B6" w:sz="6"/>
              <w:left w:val="single" w:color="2E75B6" w:sz="6"/>
              <w:bottom w:val="single" w:color="2E75B6" w:sz="6"/>
              <w:right w:val="single" w:color="2E75B6" w:sz="6"/>
            </w:tcBorders>
            <w:shd w:fill="1B4F8A" w:val="clear"/>
            <w:tcMar>
              <w:top w:type="dxa" w:w="120"/>
              <w:left w:type="dxa" w:w="100"/>
              <w:bottom w:type="dxa" w:w="120"/>
              <w:right w:type="dxa" w:w="100"/>
            </w:tcMar>
          </w:tcPr>
          <w:p>
            <w:pPr>
              <w:jc w:val="center"/>
            </w:pPr>
            <w:r>
              <w:rPr>
                <w:rFonts w:ascii="Arial" w:cs="Arial" w:eastAsia="Arial" w:hAnsi="Arial"/>
                <w:b/>
                <w:bCs/>
                <w:color w:val="FFD966"/>
                <w:sz w:val="28"/>
                <w:szCs w:val="28"/>
              </w:rPr>
              <w:t xml:space="preserve">100</w:t>
            </w:r>
          </w:p>
          <w:p>
            <w:pPr>
              <w:jc w:val="center"/>
            </w:pPr>
            <w:r>
              <w:rPr>
                <w:rFonts w:ascii="Arial" w:cs="Arial" w:eastAsia="Arial" w:hAnsi="Arial"/>
                <w:b/>
                <w:bCs/>
                <w:color w:val="FFFFFF"/>
                <w:sz w:val="16"/>
                <w:szCs w:val="16"/>
              </w:rPr>
              <w:t xml:space="preserve">Branches</w:t>
            </w:r>
          </w:p>
          <w:p>
            <w:pPr>
              <w:jc w:val="center"/>
            </w:pPr>
            <w:r>
              <w:rPr>
                <w:rFonts w:ascii="Arial" w:cs="Arial" w:eastAsia="Arial" w:hAnsi="Arial"/>
                <w:i/>
                <w:iCs/>
                <w:color w:val="A8C4E5"/>
                <w:sz w:val="14"/>
                <w:szCs w:val="14"/>
              </w:rPr>
              <w:t xml:space="preserve">Across 98 cities</w:t>
            </w:r>
          </w:p>
        </w:tc>
      </w:tr>
    </w:tbl>
    <w:p>
      <w:pPr>
        <w:spacing w:after="400"/>
      </w:pPr>
      <w:r>
        <w:t xml:space="preserve"/>
      </w:r>
    </w:p>
    <w:p>
      <w:pPr>
        <w:pStyle w:val="Heading1"/>
        <w:pBdr>
          <w:bottom w:val="single" w:color="2E75B6" w:sz="12" w:space="4"/>
        </w:pBdr>
        <w:spacing w:after="160" w:before="400"/>
      </w:pPr>
      <w:r>
        <w:rPr>
          <w:rFonts w:ascii="Arial" w:cs="Arial" w:eastAsia="Arial" w:hAnsi="Arial"/>
          <w:b/>
          <w:bCs/>
          <w:color w:val="1B4F8A"/>
          <w:sz w:val="28"/>
          <w:szCs w:val="28"/>
        </w:rPr>
        <w:t xml:space="preserve">1. DATASET OVERVIEW &amp; DATA QUALITY</w:t>
      </w:r>
    </w:p>
    <w:p>
      <w:pPr>
        <w:pStyle w:val="Heading2"/>
        <w:spacing w:after="100" w:before="280"/>
      </w:pPr>
      <w:r>
        <w:rPr>
          <w:rFonts w:ascii="Arial" w:cs="Arial" w:eastAsia="Arial" w:hAnsi="Arial"/>
          <w:b/>
          <w:bCs/>
          <w:color w:val="2E75B6"/>
          <w:sz w:val="24"/>
          <w:szCs w:val="24"/>
        </w:rPr>
        <w:t xml:space="preserve">1.1 Dataset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Attribute</w:t>
            </w:r>
          </w:p>
        </w:tc>
        <w:tc>
          <w:tcPr>
            <w:tcW w:type="dxa" w:w="62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Source</w:t>
            </w:r>
          </w:p>
        </w:tc>
        <w:tc>
          <w:tcPr>
            <w:tcW w:type="dxa" w:w="62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Walmart Transactional Sales Data</w:t>
            </w:r>
          </w:p>
        </w:tc>
      </w:tr>
      <w:tr>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Raw Records</w:t>
            </w:r>
          </w:p>
        </w:tc>
        <w:tc>
          <w:tcPr>
            <w:tcW w:type="dxa" w:w="62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10,051 rows</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After Cleaning</w:t>
            </w:r>
          </w:p>
        </w:tc>
        <w:tc>
          <w:tcPr>
            <w:tcW w:type="dxa" w:w="62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9,969 rows</w:t>
            </w:r>
          </w:p>
        </w:tc>
      </w:tr>
      <w:tr>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Duplicates Removed</w:t>
            </w:r>
          </w:p>
        </w:tc>
        <w:tc>
          <w:tcPr>
            <w:tcW w:type="dxa" w:w="62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82 records (0.82%)</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Date Range</w:t>
            </w:r>
          </w:p>
        </w:tc>
        <w:tc>
          <w:tcPr>
            <w:tcW w:type="dxa" w:w="62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January 2019 – December 2023</w:t>
            </w:r>
          </w:p>
        </w:tc>
      </w:tr>
      <w:tr>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Branches Covered</w:t>
            </w:r>
          </w:p>
        </w:tc>
        <w:tc>
          <w:tcPr>
            <w:tcW w:type="dxa" w:w="62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100 unique branches</w:t>
            </w:r>
          </w:p>
        </w:tc>
      </w:tr>
      <w:tr>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Cities Covered</w:t>
            </w:r>
          </w:p>
        </w:tc>
        <w:tc>
          <w:tcPr>
            <w:tcW w:type="dxa" w:w="62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98 unique U.S. cities</w:t>
            </w:r>
          </w:p>
        </w:tc>
      </w:tr>
      <w:tr>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Features</w:t>
            </w:r>
          </w:p>
        </w:tc>
        <w:tc>
          <w:tcPr>
            <w:tcW w:type="dxa" w:w="62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11 columns (invoice_id, branch, city, category, unit_price, quantity, date, time, payment_method, rating, profit_margin)</w:t>
            </w:r>
          </w:p>
        </w:tc>
      </w:tr>
    </w:tbl>
    <w:p>
      <w:pPr>
        <w:spacing w:after="200"/>
      </w:pPr>
      <w:r>
        <w:t xml:space="preserve"/>
      </w:r>
    </w:p>
    <w:p>
      <w:pPr>
        <w:pStyle w:val="Heading2"/>
        <w:spacing w:after="100" w:before="280"/>
      </w:pPr>
      <w:r>
        <w:rPr>
          <w:rFonts w:ascii="Arial" w:cs="Arial" w:eastAsia="Arial" w:hAnsi="Arial"/>
          <w:b/>
          <w:bCs/>
          <w:color w:val="2E75B6"/>
          <w:sz w:val="24"/>
          <w:szCs w:val="24"/>
        </w:rPr>
        <w:t xml:space="preserve">1.2 Data Cleaning Pipeline</w:t>
      </w:r>
    </w:p>
    <w:p>
      <w:pPr>
        <w:spacing w:after="120"/>
      </w:pPr>
      <w:r>
        <w:rPr>
          <w:rFonts w:ascii="Arial" w:cs="Arial" w:eastAsia="Arial" w:hAnsi="Arial"/>
          <w:color w:val="595959"/>
          <w:sz w:val="20"/>
          <w:szCs w:val="20"/>
        </w:rPr>
        <w:t xml:space="preserve">The following systematic pipeline was applied to transform raw data into analysis-ready format: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40"/>
        <w:gridCol w:w="2160"/>
        <w:gridCol w:w="3600"/>
      </w:tblGrid>
      <w:tr>
        <w:trPr>
          <w:tblHeader/>
        </w:trPr>
        <w:tc>
          <w:tcPr>
            <w:tcW w:type="dxa" w:w="36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32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 Taken</w:t>
            </w:r>
          </w:p>
        </w:tc>
        <w:tc>
          <w:tcPr>
            <w:tcW w:type="dxa" w:w="216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Records Affected</w:t>
            </w:r>
          </w:p>
        </w:tc>
        <w:tc>
          <w:tcPr>
            <w:tcW w:type="dxa" w:w="36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Outcome</w:t>
            </w:r>
          </w:p>
        </w:tc>
      </w:tr>
      <w:tr>
        <w:tc>
          <w:tcPr>
            <w:tcW w:type="dxa" w:w="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1</w:t>
            </w:r>
          </w:p>
        </w:tc>
        <w:tc>
          <w:tcPr>
            <w:tcW w:type="dxa" w:w="32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Removed duplicates using df.drop_duplicates()</w:t>
            </w:r>
          </w:p>
        </w:tc>
        <w:tc>
          <w:tcPr>
            <w:tcW w:type="dxa" w:w="21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82 rows removed</w:t>
            </w:r>
          </w:p>
        </w:tc>
        <w:tc>
          <w:tcPr>
            <w:tcW w:type="dxa" w:w="3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Clean unique transactions</w:t>
            </w:r>
          </w:p>
        </w:tc>
      </w:tr>
      <w:tr>
        <w:tc>
          <w:tcPr>
            <w:tcW w:type="dxa" w:w="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2</w:t>
            </w:r>
          </w:p>
        </w:tc>
        <w:tc>
          <w:tcPr>
            <w:tcW w:type="dxa" w:w="32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Handled missing values via df.dropna()</w:t>
            </w:r>
          </w:p>
        </w:tc>
        <w:tc>
          <w:tcPr>
            <w:tcW w:type="dxa" w:w="2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Null rows dropped</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No missing data</w:t>
            </w:r>
          </w:p>
        </w:tc>
      </w:tr>
      <w:tr>
        <w:tc>
          <w:tcPr>
            <w:tcW w:type="dxa" w:w="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3</w:t>
            </w:r>
          </w:p>
        </w:tc>
        <w:tc>
          <w:tcPr>
            <w:tcW w:type="dxa" w:w="32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Stripped '$' from unit_price; cast to float</w:t>
            </w:r>
          </w:p>
        </w:tc>
        <w:tc>
          <w:tcPr>
            <w:tcW w:type="dxa" w:w="21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All 9,969 rows</w:t>
            </w:r>
          </w:p>
        </w:tc>
        <w:tc>
          <w:tcPr>
            <w:tcW w:type="dxa" w:w="3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Numeric calculations enabled</w:t>
            </w:r>
          </w:p>
        </w:tc>
      </w:tr>
      <w:tr>
        <w:tc>
          <w:tcPr>
            <w:tcW w:type="dxa" w:w="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4</w:t>
            </w:r>
          </w:p>
        </w:tc>
        <w:tc>
          <w:tcPr>
            <w:tcW w:type="dxa" w:w="32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Parsed 'date' column with pd.to_datetime()</w:t>
            </w:r>
          </w:p>
        </w:tc>
        <w:tc>
          <w:tcPr>
            <w:tcW w:type="dxa" w:w="2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All 9,969 rows</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Datetime operations unlocked</w:t>
            </w:r>
          </w:p>
        </w:tc>
      </w:tr>
      <w:tr>
        <w:tc>
          <w:tcPr>
            <w:tcW w:type="dxa" w:w="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5</w:t>
            </w:r>
          </w:p>
        </w:tc>
        <w:tc>
          <w:tcPr>
            <w:tcW w:type="dxa" w:w="32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Loaded cleaned data to MySQL via SQLAlchemy</w:t>
            </w:r>
          </w:p>
        </w:tc>
        <w:tc>
          <w:tcPr>
            <w:tcW w:type="dxa" w:w="21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Full dataset</w:t>
            </w:r>
          </w:p>
        </w:tc>
        <w:tc>
          <w:tcPr>
            <w:tcW w:type="dxa" w:w="3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SQL queries enabled</w:t>
            </w:r>
          </w:p>
        </w:tc>
      </w:tr>
    </w:tbl>
    <w:p>
      <w:pPr>
        <w:spacing w:after="400"/>
      </w:pPr>
      <w:r>
        <w:t xml:space="preserve"/>
      </w:r>
    </w:p>
    <w:p>
      <w:pPr>
        <w:pStyle w:val="Heading1"/>
        <w:pBdr>
          <w:bottom w:val="single" w:color="2E75B6" w:sz="12" w:space="4"/>
        </w:pBdr>
        <w:spacing w:after="160" w:before="400"/>
      </w:pPr>
      <w:r>
        <w:rPr>
          <w:rFonts w:ascii="Arial" w:cs="Arial" w:eastAsia="Arial" w:hAnsi="Arial"/>
          <w:b/>
          <w:bCs/>
          <w:color w:val="1B4F8A"/>
          <w:sz w:val="28"/>
          <w:szCs w:val="28"/>
        </w:rPr>
        <w:t xml:space="preserve">2. FEATURE ENGINEERING</w:t>
      </w:r>
    </w:p>
    <w:p>
      <w:pPr>
        <w:spacing w:after="120"/>
      </w:pPr>
      <w:r>
        <w:rPr>
          <w:rFonts w:ascii="Arial" w:cs="Arial" w:eastAsia="Arial" w:hAnsi="Arial"/>
          <w:color w:val="595959"/>
          <w:sz w:val="20"/>
          <w:szCs w:val="20"/>
        </w:rPr>
        <w:t xml:space="preserve">Four new business-critical features were engineered from existing columns, dramatically expanding analytical capability: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 Created</w:t>
            </w:r>
          </w:p>
        </w:tc>
        <w:tc>
          <w:tcPr>
            <w:tcW w:type="dxa" w:w="30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Formula / Method</w:t>
            </w:r>
          </w:p>
        </w:tc>
        <w:tc>
          <w:tcPr>
            <w:tcW w:type="dxa" w:w="436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Business Purpose</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total</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unit_price × quantity</w:t>
            </w:r>
          </w:p>
        </w:tc>
        <w:tc>
          <w:tcPr>
            <w:tcW w:type="dxa" w:w="4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Calculate actual transaction revenue (missing in raw data)</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month</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df['date'].dt.month</w:t>
            </w:r>
          </w:p>
        </w:tc>
        <w:tc>
          <w:tcPr>
            <w:tcW w:type="dxa" w:w="4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Enable monthly sales trend and seasonality analysis</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hour</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pd.to_datetime(df['time']).dt.hour</w:t>
            </w:r>
          </w:p>
        </w:tc>
        <w:tc>
          <w:tcPr>
            <w:tcW w:type="dxa" w:w="4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Identify peak shopping hours for staffing optimization</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shift (SQL)</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CASE WHEN hour&lt;12 THEN 'morning'...</w:t>
            </w:r>
          </w:p>
        </w:tc>
        <w:tc>
          <w:tcPr>
            <w:tcW w:type="dxa" w:w="4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Classify transactions by time-of-day for operational analysis</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year</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df['date'].dt.year</w:t>
            </w:r>
          </w:p>
        </w:tc>
        <w:tc>
          <w:tcPr>
            <w:tcW w:type="dxa" w:w="4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Enable year-over-year revenue comparison (primary query)</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profit</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total × profit_margin</w:t>
            </w:r>
          </w:p>
        </w:tc>
        <w:tc>
          <w:tcPr>
            <w:tcW w:type="dxa" w:w="4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Quantify actual profit contribution per transaction</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2A" w:sz="6"/>
              <w:left w:val="single" w:color="E8502A" w:sz="24"/>
              <w:bottom w:val="single" w:color="E8502A" w:sz="6"/>
              <w:right w:val="single" w:color="E8502A" w:sz="6"/>
            </w:tcBorders>
            <w:shd w:fill="FFF3CD" w:val="clear"/>
            <w:tcMar>
              <w:top w:type="dxa" w:w="100"/>
              <w:left w:type="dxa" w:w="200"/>
              <w:bottom w:type="dxa" w:w="100"/>
              <w:right w:type="dxa" w:w="200"/>
            </w:tcMar>
          </w:tcPr>
          <w:p>
            <w:r>
              <w:rPr>
                <w:rFonts w:ascii="Arial" w:cs="Arial" w:eastAsia="Arial" w:hAnsi="Arial"/>
                <w:b/>
                <w:bCs/>
                <w:color w:val="E8502A"/>
                <w:sz w:val="20"/>
                <w:szCs w:val="20"/>
              </w:rPr>
              <w:t xml:space="preserve">💡 Business Impact: </w:t>
            </w:r>
            <w:r>
              <w:rPr>
                <w:rFonts w:ascii="Arial" w:cs="Arial" w:eastAsia="Arial" w:hAnsi="Arial"/>
                <w:color w:val="1A1A1A"/>
                <w:sz w:val="20"/>
                <w:szCs w:val="20"/>
              </w:rPr>
              <w:t xml:space="preserve">Without engineering the 'total' field, no revenue analysis was possible. Without 'hour' and 'shift', time-based patterns were invisible. These 6 features directly enabled all 8 SQL business queries.</w:t>
            </w:r>
          </w:p>
        </w:tc>
      </w:tr>
    </w:tbl>
    <w:p>
      <w:pPr>
        <w:spacing w:after="400"/>
      </w:pPr>
      <w:r>
        <w:t xml:space="preserve"/>
      </w:r>
    </w:p>
    <w:p>
      <w:pPr>
        <w:pStyle w:val="Heading1"/>
        <w:pBdr>
          <w:bottom w:val="single" w:color="2E75B6" w:sz="12" w:space="4"/>
        </w:pBdr>
        <w:spacing w:after="160" w:before="400"/>
      </w:pPr>
      <w:r>
        <w:rPr>
          <w:rFonts w:ascii="Arial" w:cs="Arial" w:eastAsia="Arial" w:hAnsi="Arial"/>
          <w:b/>
          <w:bCs/>
          <w:color w:val="1B4F8A"/>
          <w:sz w:val="28"/>
          <w:szCs w:val="28"/>
        </w:rPr>
        <w:t xml:space="preserve">3. EXPLORATORY DATA ANALYSIS — KEY INSIGHTS</w:t>
      </w:r>
    </w:p>
    <w:p>
      <w:pPr>
        <w:pStyle w:val="Heading2"/>
        <w:spacing w:after="100" w:before="280"/>
      </w:pPr>
      <w:r>
        <w:rPr>
          <w:rFonts w:ascii="Arial" w:cs="Arial" w:eastAsia="Arial" w:hAnsi="Arial"/>
          <w:b/>
          <w:bCs/>
          <w:color w:val="2E75B6"/>
          <w:sz w:val="24"/>
          <w:szCs w:val="24"/>
        </w:rPr>
        <w:t xml:space="preserve">3.1 Revenue &amp; Profit by Category</w:t>
      </w:r>
    </w:p>
    <w:p>
      <w:pPr>
        <w:spacing w:after="120"/>
      </w:pPr>
      <w:r>
        <w:rPr>
          <w:rFonts w:ascii="Arial" w:cs="Arial" w:eastAsia="Arial" w:hAnsi="Arial"/>
          <w:color w:val="595959"/>
          <w:sz w:val="20"/>
          <w:szCs w:val="20"/>
        </w:rPr>
        <w:t xml:space="preserve">Fashion Accessories and Home &amp; Lifestyle are the two revenue powerhouses, collectively generating 80.9% of total company revenue — yet they rank last in customer satisfaction.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1360"/>
        <w:gridCol w:w="1200"/>
        <w:gridCol w:w="1280"/>
        <w:gridCol w:w="1400"/>
        <w:gridCol w:w="1640"/>
      </w:tblGrid>
      <w:tr>
        <w:trPr>
          <w:tblHeader/>
        </w:trPr>
        <w:tc>
          <w:tcPr>
            <w:tcW w:type="dxa" w:w="248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136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w:t>
            </w:r>
          </w:p>
        </w:tc>
        <w:tc>
          <w:tcPr>
            <w:tcW w:type="dxa" w:w="12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of Total</w:t>
            </w:r>
          </w:p>
        </w:tc>
        <w:tc>
          <w:tcPr>
            <w:tcW w:type="dxa" w:w="128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Profit</w:t>
            </w:r>
          </w:p>
        </w:tc>
        <w:tc>
          <w:tcPr>
            <w:tcW w:type="dxa" w:w="14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Rating</w:t>
            </w:r>
          </w:p>
        </w:tc>
        <w:tc>
          <w:tcPr>
            <w:tcW w:type="dxa" w:w="16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Rating Rank</w:t>
            </w:r>
          </w:p>
        </w:tc>
      </w:tr>
      <w:tr>
        <w:tc>
          <w:tcPr>
            <w:tcW w:type="dxa" w:w="24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Fashion Accessories</w:t>
            </w:r>
          </w:p>
        </w:tc>
        <w:tc>
          <w:tcPr>
            <w:tcW w:type="dxa" w:w="1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$489,481</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40.5%</w:t>
            </w:r>
          </w:p>
        </w:tc>
        <w:tc>
          <w:tcPr>
            <w:tcW w:type="dxa" w:w="12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$192,315</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5.78</w:t>
            </w:r>
          </w:p>
        </w:tc>
        <w:tc>
          <w:tcPr>
            <w:tcW w:type="dxa" w:w="16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#5 of 6</w:t>
            </w:r>
          </w:p>
        </w:tc>
      </w:tr>
      <w:tr>
        <w:tc>
          <w:tcPr>
            <w:tcW w:type="dxa" w:w="2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Home and Lifestyle</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$489,250</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40.4%</w:t>
            </w:r>
          </w:p>
        </w:tc>
        <w:tc>
          <w:tcPr>
            <w:tcW w:type="dxa" w:w="12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$192,214</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5.74</w:t>
            </w:r>
          </w:p>
        </w:tc>
        <w:tc>
          <w:tcPr>
            <w:tcW w:type="dxa" w:w="16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#6 of 6</w:t>
            </w:r>
          </w:p>
        </w:tc>
      </w:tr>
      <w:tr>
        <w:tc>
          <w:tcPr>
            <w:tcW w:type="dxa" w:w="24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Electronic Accessories</w:t>
            </w:r>
          </w:p>
        </w:tc>
        <w:tc>
          <w:tcPr>
            <w:tcW w:type="dxa" w:w="1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$78,175</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6.5%</w:t>
            </w:r>
          </w:p>
        </w:tc>
        <w:tc>
          <w:tcPr>
            <w:tcW w:type="dxa" w:w="12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$30,772</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5.91</w:t>
            </w:r>
          </w:p>
        </w:tc>
        <w:tc>
          <w:tcPr>
            <w:tcW w:type="dxa" w:w="16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#4 of 6</w:t>
            </w:r>
          </w:p>
        </w:tc>
      </w:tr>
      <w:tr>
        <w:tc>
          <w:tcPr>
            <w:tcW w:type="dxa" w:w="2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Food &amp; Beverages</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$53,471</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4.4%</w:t>
            </w:r>
          </w:p>
        </w:tc>
        <w:tc>
          <w:tcPr>
            <w:tcW w:type="dxa" w:w="12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$21,553</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7.11</w:t>
            </w:r>
          </w:p>
        </w:tc>
        <w:tc>
          <w:tcPr>
            <w:tcW w:type="dxa" w:w="16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 of 6</w:t>
            </w:r>
          </w:p>
        </w:tc>
      </w:tr>
      <w:tr>
        <w:tc>
          <w:tcPr>
            <w:tcW w:type="dxa" w:w="24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Sports &amp; Travel</w:t>
            </w:r>
          </w:p>
        </w:tc>
        <w:tc>
          <w:tcPr>
            <w:tcW w:type="dxa" w:w="1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$52,498</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4.3%</w:t>
            </w:r>
          </w:p>
        </w:tc>
        <w:tc>
          <w:tcPr>
            <w:tcW w:type="dxa" w:w="12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$20,614</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6.92</w:t>
            </w:r>
          </w:p>
        </w:tc>
        <w:tc>
          <w:tcPr>
            <w:tcW w:type="dxa" w:w="16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#2 of 6</w:t>
            </w:r>
          </w:p>
        </w:tc>
      </w:tr>
      <w:tr>
        <w:tc>
          <w:tcPr>
            <w:tcW w:type="dxa" w:w="2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Health &amp; Beauty</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$46,851</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3.9%</w:t>
            </w:r>
          </w:p>
        </w:tc>
        <w:tc>
          <w:tcPr>
            <w:tcW w:type="dxa" w:w="12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$18,672</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7.00</w:t>
            </w:r>
          </w:p>
        </w:tc>
        <w:tc>
          <w:tcPr>
            <w:tcW w:type="dxa" w:w="16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#3 of 6</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2A" w:sz="6"/>
              <w:left w:val="single" w:color="E8502A" w:sz="24"/>
              <w:bottom w:val="single" w:color="E8502A" w:sz="6"/>
              <w:right w:val="single" w:color="E8502A" w:sz="6"/>
            </w:tcBorders>
            <w:shd w:fill="FFF3CD" w:val="clear"/>
            <w:tcMar>
              <w:top w:type="dxa" w:w="100"/>
              <w:left w:type="dxa" w:w="200"/>
              <w:bottom w:type="dxa" w:w="100"/>
              <w:right w:type="dxa" w:w="200"/>
            </w:tcMar>
          </w:tcPr>
          <w:p>
            <w:r>
              <w:rPr>
                <w:rFonts w:ascii="Arial" w:cs="Arial" w:eastAsia="Arial" w:hAnsi="Arial"/>
                <w:b/>
                <w:bCs/>
                <w:color w:val="E8502A"/>
                <w:sz w:val="20"/>
                <w:szCs w:val="20"/>
              </w:rPr>
              <w:t xml:space="preserve">💡 Business Impact: </w:t>
            </w:r>
            <w:r>
              <w:rPr>
                <w:rFonts w:ascii="Arial" w:cs="Arial" w:eastAsia="Arial" w:hAnsi="Arial"/>
                <w:color w:val="1A1A1A"/>
                <w:sz w:val="20"/>
                <w:szCs w:val="20"/>
              </w:rPr>
              <w:t xml:space="preserve">The top 2 revenue categories (81% of revenue) have the LOWEST customer satisfaction scores — 5.74 and 5.78 out of 10. This is a critical vulnerability: low satisfaction in your highest-revenue lines risks long-term customer churn.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single" w:color="1E7145" w:sz="24"/>
              <w:bottom w:val="single" w:color="1E7145" w:sz="6"/>
              <w:right w:val="single" w:color="1E7145" w:sz="6"/>
            </w:tcBorders>
            <w:shd w:fill="E8F5E9" w:val="clear"/>
            <w:tcMar>
              <w:top w:type="dxa" w:w="100"/>
              <w:left w:type="dxa" w:w="200"/>
              <w:bottom w:type="dxa" w:w="100"/>
              <w:right w:type="dxa" w:w="200"/>
            </w:tcMar>
          </w:tcPr>
          <w:p>
            <w:r>
              <w:rPr>
                <w:rFonts w:ascii="Arial" w:cs="Arial" w:eastAsia="Arial" w:hAnsi="Arial"/>
                <w:b/>
                <w:bCs/>
                <w:color w:val="1E7145"/>
                <w:sz w:val="20"/>
                <w:szCs w:val="20"/>
              </w:rPr>
              <w:t xml:space="preserve">✅ Recommendation: </w:t>
            </w:r>
            <w:r>
              <w:rPr>
                <w:rFonts w:ascii="Arial" w:cs="Arial" w:eastAsia="Arial" w:hAnsi="Arial"/>
                <w:color w:val="1A1A1A"/>
                <w:sz w:val="20"/>
                <w:szCs w:val="20"/>
              </w:rPr>
              <w:t xml:space="preserve">Immediately audit product quality, store display, and post-purchase experience for Fashion Accessories and Home &amp; Lifestyle. A 0.5-point improvement in ratings for these two categories could protect and grow the $978K revenue base they represent. Consider launching a category-specific NPS survey within 30 days.</w:t>
            </w:r>
          </w:p>
        </w:tc>
      </w:tr>
    </w:tbl>
    <w:p>
      <w:pPr>
        <w:spacing w:after="240"/>
      </w:pPr>
      <w:r>
        <w:t xml:space="preserve"/>
      </w:r>
    </w:p>
    <w:p>
      <w:pPr>
        <w:pStyle w:val="Heading2"/>
        <w:spacing w:after="100" w:before="280"/>
      </w:pPr>
      <w:r>
        <w:rPr>
          <w:rFonts w:ascii="Arial" w:cs="Arial" w:eastAsia="Arial" w:hAnsi="Arial"/>
          <w:b/>
          <w:bCs/>
          <w:color w:val="2E75B6"/>
          <w:sz w:val="24"/>
          <w:szCs w:val="24"/>
        </w:rPr>
        <w:t xml:space="preserve">3.2 Transaction Distribution &amp; High-Value Customer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16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dxa" w:w="496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Implication</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Average Transaction Value</w:t>
            </w:r>
          </w:p>
        </w:tc>
        <w:tc>
          <w:tcPr>
            <w:tcW w:type="dxa" w:w="1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$121.35</w:t>
            </w:r>
          </w:p>
        </w:tc>
        <w:tc>
          <w:tcPr>
            <w:tcW w:type="dxa" w:w="49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Healthy basket size overall</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Median Transaction Value</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$88.00</w:t>
            </w:r>
          </w:p>
        </w:tc>
        <w:tc>
          <w:tcPr>
            <w:tcW w:type="dxa" w:w="4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Median is 27% below mean — right skew confirmed</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Top 10% Transaction Threshold</w:t>
            </w:r>
          </w:p>
        </w:tc>
        <w:tc>
          <w:tcPr>
            <w:tcW w:type="dxa" w:w="1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$222.00</w:t>
            </w:r>
          </w:p>
        </w:tc>
        <w:tc>
          <w:tcPr>
            <w:tcW w:type="dxa" w:w="49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Customer spending $222+ is a high-value segment</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Revenue from Top 10% Customers</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$372,638</w:t>
            </w:r>
          </w:p>
        </w:tc>
        <w:tc>
          <w:tcPr>
            <w:tcW w:type="dxa" w:w="4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30.8% of all revenue from just 10% of transactions</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Outlier Transactions (&gt;$309)</w:t>
            </w:r>
          </w:p>
        </w:tc>
        <w:tc>
          <w:tcPr>
            <w:tcW w:type="dxa" w:w="1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401 transactions</w:t>
            </w:r>
          </w:p>
        </w:tc>
        <w:tc>
          <w:tcPr>
            <w:tcW w:type="dxa" w:w="49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4% of txns but 18.2% of total revenue ($219,569)</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Avg Quantity per Transaction</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2.36 items</w:t>
            </w:r>
          </w:p>
        </w:tc>
        <w:tc>
          <w:tcPr>
            <w:tcW w:type="dxa" w:w="4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Low basket size — upselling opportunity</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2A" w:sz="6"/>
              <w:left w:val="single" w:color="E8502A" w:sz="24"/>
              <w:bottom w:val="single" w:color="E8502A" w:sz="6"/>
              <w:right w:val="single" w:color="E8502A" w:sz="6"/>
            </w:tcBorders>
            <w:shd w:fill="FFF3CD" w:val="clear"/>
            <w:tcMar>
              <w:top w:type="dxa" w:w="100"/>
              <w:left w:type="dxa" w:w="200"/>
              <w:bottom w:type="dxa" w:w="100"/>
              <w:right w:type="dxa" w:w="200"/>
            </w:tcMar>
          </w:tcPr>
          <w:p>
            <w:r>
              <w:rPr>
                <w:rFonts w:ascii="Arial" w:cs="Arial" w:eastAsia="Arial" w:hAnsi="Arial"/>
                <w:b/>
                <w:bCs/>
                <w:color w:val="E8502A"/>
                <w:sz w:val="20"/>
                <w:szCs w:val="20"/>
              </w:rPr>
              <w:t xml:space="preserve">💡 Business Impact: </w:t>
            </w:r>
            <w:r>
              <w:rPr>
                <w:rFonts w:ascii="Arial" w:cs="Arial" w:eastAsia="Arial" w:hAnsi="Arial"/>
                <w:color w:val="1A1A1A"/>
                <w:sz w:val="20"/>
                <w:szCs w:val="20"/>
              </w:rPr>
              <w:t xml:space="preserve">Just 401 outlier transactions (4% of all txns) generate $219,569 — 18.2% of total revenue. If these customers are lost, it creates an immediate $220K hole in revenue.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single" w:color="1E7145" w:sz="24"/>
              <w:bottom w:val="single" w:color="1E7145" w:sz="6"/>
              <w:right w:val="single" w:color="1E7145" w:sz="6"/>
            </w:tcBorders>
            <w:shd w:fill="E8F5E9" w:val="clear"/>
            <w:tcMar>
              <w:top w:type="dxa" w:w="100"/>
              <w:left w:type="dxa" w:w="200"/>
              <w:bottom w:type="dxa" w:w="100"/>
              <w:right w:type="dxa" w:w="200"/>
            </w:tcMar>
          </w:tcPr>
          <w:p>
            <w:r>
              <w:rPr>
                <w:rFonts w:ascii="Arial" w:cs="Arial" w:eastAsia="Arial" w:hAnsi="Arial"/>
                <w:b/>
                <w:bCs/>
                <w:color w:val="1E7145"/>
                <w:sz w:val="20"/>
                <w:szCs w:val="20"/>
              </w:rPr>
              <w:t xml:space="preserve">✅ Recommendation: </w:t>
            </w:r>
            <w:r>
              <w:rPr>
                <w:rFonts w:ascii="Arial" w:cs="Arial" w:eastAsia="Arial" w:hAnsi="Arial"/>
                <w:color w:val="1A1A1A"/>
                <w:sz w:val="20"/>
                <w:szCs w:val="20"/>
              </w:rPr>
              <w:t xml:space="preserve">Create a VIP/loyalty program targeting the top 10% spenders (transactions ≥$222). Identify these customers, offer personalized promotions, and focus retention on this segment. Even retaining 50% more of these customers could add $37K-$55K annually. Also focus on increasing average basket size — current avg of 2.36 items leaves significant upsell opportunity.</w:t>
            </w:r>
          </w:p>
        </w:tc>
      </w:tr>
    </w:tbl>
    <w:p>
      <w:pPr>
        <w:spacing w:after="240"/>
      </w:pPr>
      <w:r>
        <w:t xml:space="preserve"/>
      </w:r>
    </w:p>
    <w:p>
      <w:pPr>
        <w:pStyle w:val="Heading2"/>
        <w:spacing w:after="100" w:before="280"/>
      </w:pPr>
      <w:r>
        <w:rPr>
          <w:rFonts w:ascii="Arial" w:cs="Arial" w:eastAsia="Arial" w:hAnsi="Arial"/>
          <w:b/>
          <w:bCs/>
          <w:color w:val="2E75B6"/>
          <w:sz w:val="24"/>
          <w:szCs w:val="24"/>
        </w:rPr>
        <w:t xml:space="preserve">3.3 Payment Method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60"/>
        <w:gridCol w:w="1760"/>
        <w:gridCol w:w="1760"/>
        <w:gridCol w:w="2080"/>
      </w:tblGrid>
      <w:tr>
        <w:trPr>
          <w:tblHeader/>
        </w:trPr>
        <w:tc>
          <w:tcPr>
            <w:tcW w:type="dxa" w:w="20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Payment Method</w:t>
            </w:r>
          </w:p>
        </w:tc>
        <w:tc>
          <w:tcPr>
            <w:tcW w:type="dxa" w:w="176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Transactions</w:t>
            </w:r>
          </w:p>
        </w:tc>
        <w:tc>
          <w:tcPr>
            <w:tcW w:type="dxa" w:w="176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w:t>
            </w:r>
          </w:p>
        </w:tc>
        <w:tc>
          <w:tcPr>
            <w:tcW w:type="dxa" w:w="176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 Share</w:t>
            </w:r>
          </w:p>
        </w:tc>
        <w:tc>
          <w:tcPr>
            <w:tcW w:type="dxa" w:w="208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Txn Value</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Credit Card</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4,256 (42.7%)</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$488,821</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40.4%</w:t>
            </w:r>
          </w:p>
        </w:tc>
        <w:tc>
          <w:tcPr>
            <w:tcW w:type="dxa" w:w="20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$114.86</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Ewallet</w:t>
            </w:r>
          </w:p>
        </w:tc>
        <w:tc>
          <w:tcPr>
            <w:tcW w:type="dxa" w:w="1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3,881 (38.9%)</w:t>
            </w:r>
          </w:p>
        </w:tc>
        <w:tc>
          <w:tcPr>
            <w:tcW w:type="dxa" w:w="1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$457,316</w:t>
            </w:r>
          </w:p>
        </w:tc>
        <w:tc>
          <w:tcPr>
            <w:tcW w:type="dxa" w:w="1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37.8%</w:t>
            </w:r>
          </w:p>
        </w:tc>
        <w:tc>
          <w:tcPr>
            <w:tcW w:type="dxa" w:w="20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$117.84</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Cash</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1,832 (18.4%)</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$263,589</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21.8%</w:t>
            </w:r>
          </w:p>
        </w:tc>
        <w:tc>
          <w:tcPr>
            <w:tcW w:type="dxa" w:w="20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$143.88</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2A" w:sz="6"/>
              <w:left w:val="single" w:color="E8502A" w:sz="24"/>
              <w:bottom w:val="single" w:color="E8502A" w:sz="6"/>
              <w:right w:val="single" w:color="E8502A" w:sz="6"/>
            </w:tcBorders>
            <w:shd w:fill="FFF3CD" w:val="clear"/>
            <w:tcMar>
              <w:top w:type="dxa" w:w="100"/>
              <w:left w:type="dxa" w:w="200"/>
              <w:bottom w:type="dxa" w:w="100"/>
              <w:right w:type="dxa" w:w="200"/>
            </w:tcMar>
          </w:tcPr>
          <w:p>
            <w:r>
              <w:rPr>
                <w:rFonts w:ascii="Arial" w:cs="Arial" w:eastAsia="Arial" w:hAnsi="Arial"/>
                <w:b/>
                <w:bCs/>
                <w:color w:val="E8502A"/>
                <w:sz w:val="20"/>
                <w:szCs w:val="20"/>
              </w:rPr>
              <w:t xml:space="preserve">💡 Business Impact: </w:t>
            </w:r>
            <w:r>
              <w:rPr>
                <w:rFonts w:ascii="Arial" w:cs="Arial" w:eastAsia="Arial" w:hAnsi="Arial"/>
                <w:color w:val="1A1A1A"/>
                <w:sz w:val="20"/>
                <w:szCs w:val="20"/>
              </w:rPr>
              <w:t xml:space="preserve">Cash customers have the HIGHEST average transaction value ($143.88 — 25% higher than credit card users), yet represent only 18.4% of transactions. This is a missed revenue segment. Additionally, 78.2% of revenue now flows through digital payment channels — a significant operational dependency.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single" w:color="1E7145" w:sz="24"/>
              <w:bottom w:val="single" w:color="1E7145" w:sz="6"/>
              <w:right w:val="single" w:color="1E7145" w:sz="6"/>
            </w:tcBorders>
            <w:shd w:fill="E8F5E9" w:val="clear"/>
            <w:tcMar>
              <w:top w:type="dxa" w:w="100"/>
              <w:left w:type="dxa" w:w="200"/>
              <w:bottom w:type="dxa" w:w="100"/>
              <w:right w:type="dxa" w:w="200"/>
            </w:tcMar>
          </w:tcPr>
          <w:p>
            <w:r>
              <w:rPr>
                <w:rFonts w:ascii="Arial" w:cs="Arial" w:eastAsia="Arial" w:hAnsi="Arial"/>
                <w:b/>
                <w:bCs/>
                <w:color w:val="1E7145"/>
                <w:sz w:val="20"/>
                <w:szCs w:val="20"/>
              </w:rPr>
              <w:t xml:space="preserve">✅ Recommendation: </w:t>
            </w:r>
            <w:r>
              <w:rPr>
                <w:rFonts w:ascii="Arial" w:cs="Arial" w:eastAsia="Arial" w:hAnsi="Arial"/>
                <w:color w:val="1A1A1A"/>
                <w:sz w:val="20"/>
                <w:szCs w:val="20"/>
              </w:rPr>
              <w:t xml:space="preserve">Investigate why cash customers spend more per visit. They may be less price-sensitive or making planned bulk purchases. Design targeted outreach or in-store promotions for cash-paying segments. For digital payment infrastructure, ensure Ewallet and Credit Card systems have 99.9% uptime — a system outage now risks 78% of daily revenue.</w:t>
            </w:r>
          </w:p>
        </w:tc>
      </w:tr>
    </w:tbl>
    <w:p>
      <w:pPr>
        <w:spacing w:after="240"/>
      </w:pPr>
      <w:r>
        <w:t xml:space="preserve"/>
      </w:r>
    </w:p>
    <w:p>
      <w:pPr>
        <w:pStyle w:val="Heading2"/>
        <w:spacing w:after="100" w:before="280"/>
      </w:pPr>
      <w:r>
        <w:rPr>
          <w:rFonts w:ascii="Arial" w:cs="Arial" w:eastAsia="Arial" w:hAnsi="Arial"/>
          <w:b/>
          <w:bCs/>
          <w:color w:val="2E75B6"/>
          <w:sz w:val="24"/>
          <w:szCs w:val="24"/>
        </w:rPr>
        <w:t xml:space="preserve">3.4 Shift &amp; Hour Analysis — Operational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1760"/>
        <w:gridCol w:w="1680"/>
        <w:gridCol w:w="1760"/>
        <w:gridCol w:w="1880"/>
      </w:tblGrid>
      <w:tr>
        <w:trPr>
          <w:tblHeader/>
        </w:trPr>
        <w:tc>
          <w:tcPr>
            <w:tcW w:type="dxa" w:w="228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Shift</w:t>
            </w:r>
          </w:p>
        </w:tc>
        <w:tc>
          <w:tcPr>
            <w:tcW w:type="dxa" w:w="176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Transactions</w:t>
            </w:r>
          </w:p>
        </w:tc>
        <w:tc>
          <w:tcPr>
            <w:tcW w:type="dxa" w:w="168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w:t>
            </w:r>
          </w:p>
        </w:tc>
        <w:tc>
          <w:tcPr>
            <w:tcW w:type="dxa" w:w="176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 Share</w:t>
            </w:r>
          </w:p>
        </w:tc>
        <w:tc>
          <w:tcPr>
            <w:tcW w:type="dxa" w:w="188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Txn Value</w:t>
            </w:r>
          </w:p>
        </w:tc>
      </w:tr>
      <w:tr>
        <w:tc>
          <w:tcPr>
            <w:tcW w:type="dxa" w:w="22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Afternoon (12pm–5pm)</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4,636 (46.5%)</w:t>
            </w:r>
          </w:p>
        </w:tc>
        <w:tc>
          <w:tcPr>
            <w:tcW w:type="dxa" w:w="16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$578,818</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47.8%</w:t>
            </w:r>
          </w:p>
        </w:tc>
        <w:tc>
          <w:tcPr>
            <w:tcW w:type="dxa" w:w="18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$124.85</w:t>
            </w:r>
          </w:p>
        </w:tc>
      </w:tr>
      <w:tr>
        <w:tc>
          <w:tcPr>
            <w:tcW w:type="dxa" w:w="22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Evening (6pm–11pm)</w:t>
            </w:r>
          </w:p>
        </w:tc>
        <w:tc>
          <w:tcPr>
            <w:tcW w:type="dxa" w:w="1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3,246 (32.6%)</w:t>
            </w:r>
          </w:p>
        </w:tc>
        <w:tc>
          <w:tcPr>
            <w:tcW w:type="dxa" w:w="1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$379,402</w:t>
            </w:r>
          </w:p>
        </w:tc>
        <w:tc>
          <w:tcPr>
            <w:tcW w:type="dxa" w:w="1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31.4%</w:t>
            </w:r>
          </w:p>
        </w:tc>
        <w:tc>
          <w:tcPr>
            <w:tcW w:type="dxa" w:w="18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$116.88</w:t>
            </w:r>
          </w:p>
        </w:tc>
      </w:tr>
      <w:tr>
        <w:tc>
          <w:tcPr>
            <w:tcW w:type="dxa" w:w="22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Morning (Before 12pm)</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2,087 (20.9%)</w:t>
            </w:r>
          </w:p>
        </w:tc>
        <w:tc>
          <w:tcPr>
            <w:tcW w:type="dxa" w:w="16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$251,507</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20.8%</w:t>
            </w:r>
          </w:p>
        </w:tc>
        <w:tc>
          <w:tcPr>
            <w:tcW w:type="dxa" w:w="18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$120.51</w:t>
            </w:r>
          </w:p>
        </w:tc>
      </w:tr>
    </w:tbl>
    <w:p>
      <w:pPr>
        <w:spacing w:after="120"/>
      </w:pPr>
      <w:r>
        <w:t xml:space="preserve"/>
      </w:r>
    </w:p>
    <w:p>
      <w:pPr>
        <w:spacing w:after="120"/>
      </w:pPr>
      <w:r>
        <w:rPr>
          <w:rFonts w:ascii="Arial" w:cs="Arial" w:eastAsia="Arial" w:hAnsi="Arial"/>
          <w:color w:val="595959"/>
          <w:sz w:val="20"/>
          <w:szCs w:val="20"/>
        </w:rPr>
        <w:t xml:space="preserve">Top 5 revenue-generating hours: 3PM ($142,017) | 4PM ($134,918) | 7PM ($128,581) | 5PM ($116,301) | 6PM ($113,073)</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2A" w:sz="6"/>
              <w:left w:val="single" w:color="E8502A" w:sz="24"/>
              <w:bottom w:val="single" w:color="E8502A" w:sz="6"/>
              <w:right w:val="single" w:color="E8502A" w:sz="6"/>
            </w:tcBorders>
            <w:shd w:fill="FFF3CD" w:val="clear"/>
            <w:tcMar>
              <w:top w:type="dxa" w:w="100"/>
              <w:left w:type="dxa" w:w="200"/>
              <w:bottom w:type="dxa" w:w="100"/>
              <w:right w:type="dxa" w:w="200"/>
            </w:tcMar>
          </w:tcPr>
          <w:p>
            <w:r>
              <w:rPr>
                <w:rFonts w:ascii="Arial" w:cs="Arial" w:eastAsia="Arial" w:hAnsi="Arial"/>
                <w:b/>
                <w:bCs/>
                <w:color w:val="E8502A"/>
                <w:sz w:val="20"/>
                <w:szCs w:val="20"/>
              </w:rPr>
              <w:t xml:space="preserve">💡 Business Impact: </w:t>
            </w:r>
            <w:r>
              <w:rPr>
                <w:rFonts w:ascii="Arial" w:cs="Arial" w:eastAsia="Arial" w:hAnsi="Arial"/>
                <w:color w:val="1A1A1A"/>
                <w:sz w:val="20"/>
                <w:szCs w:val="20"/>
              </w:rPr>
              <w:t xml:space="preserve">3PM–5PM is the single most critical sales window, generating $393,236 (32.5% of all revenue) in just 2 hours. The morning shift generates 20.8% of revenue with 20.9% of traffic — operating at near-full efficiency. Evening is under-monetized relative to traffic volume.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single" w:color="1E7145" w:sz="24"/>
              <w:bottom w:val="single" w:color="1E7145" w:sz="6"/>
              <w:right w:val="single" w:color="1E7145" w:sz="6"/>
            </w:tcBorders>
            <w:shd w:fill="E8F5E9" w:val="clear"/>
            <w:tcMar>
              <w:top w:type="dxa" w:w="100"/>
              <w:left w:type="dxa" w:w="200"/>
              <w:bottom w:type="dxa" w:w="100"/>
              <w:right w:type="dxa" w:w="200"/>
            </w:tcMar>
          </w:tcPr>
          <w:p>
            <w:r>
              <w:rPr>
                <w:rFonts w:ascii="Arial" w:cs="Arial" w:eastAsia="Arial" w:hAnsi="Arial"/>
                <w:b/>
                <w:bCs/>
                <w:color w:val="1E7145"/>
                <w:sz w:val="20"/>
                <w:szCs w:val="20"/>
              </w:rPr>
              <w:t xml:space="preserve">✅ Recommendation: </w:t>
            </w:r>
            <w:r>
              <w:rPr>
                <w:rFonts w:ascii="Arial" w:cs="Arial" w:eastAsia="Arial" w:hAnsi="Arial"/>
                <w:color w:val="1A1A1A"/>
                <w:sz w:val="20"/>
                <w:szCs w:val="20"/>
              </w:rPr>
              <w:t xml:space="preserve">Peak-time strategy: Deploy maximum staff and ensure full inventory availability between 3PM–5PM daily. Run 'Happy Hour'-style promotions from 6PM–8PM to boost the underperforming evening segment. Consider reduced hours on low-traffic morning slots at bottom-performing branches to cut operating costs.</w:t>
            </w:r>
          </w:p>
        </w:tc>
      </w:tr>
    </w:tbl>
    <w:p>
      <w:pPr>
        <w:spacing w:after="240"/>
      </w:pPr>
      <w:r>
        <w:t xml:space="preserve"/>
      </w:r>
    </w:p>
    <w:p>
      <w:pPr>
        <w:pStyle w:val="Heading2"/>
        <w:spacing w:after="100" w:before="280"/>
      </w:pPr>
      <w:r>
        <w:rPr>
          <w:rFonts w:ascii="Arial" w:cs="Arial" w:eastAsia="Arial" w:hAnsi="Arial"/>
          <w:b/>
          <w:bCs/>
          <w:color w:val="2E75B6"/>
          <w:sz w:val="24"/>
          <w:szCs w:val="24"/>
        </w:rPr>
        <w:t xml:space="preserve">3.5 Day-of-Week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000"/>
        <w:gridCol w:w="4480"/>
      </w:tblGrid>
      <w:tr>
        <w:trPr>
          <w:tblHeader/>
        </w:trPr>
        <w:tc>
          <w:tcPr>
            <w:tcW w:type="dxa" w:w="14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Day</w:t>
            </w:r>
          </w:p>
        </w:tc>
        <w:tc>
          <w:tcPr>
            <w:tcW w:type="dxa" w:w="14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Transactions</w:t>
            </w:r>
          </w:p>
        </w:tc>
        <w:tc>
          <w:tcPr>
            <w:tcW w:type="dxa" w:w="20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vs. Monday (Baseline)</w:t>
            </w:r>
          </w:p>
        </w:tc>
        <w:tc>
          <w:tcPr>
            <w:tcW w:type="dxa" w:w="448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Strategic Note</w:t>
            </w:r>
          </w:p>
        </w:tc>
      </w:tr>
      <w:tr>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Tuesday</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1,468</w:t>
            </w:r>
          </w:p>
        </w:tc>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+146 (+11.0%)</w:t>
            </w:r>
          </w:p>
        </w:tc>
        <w:tc>
          <w:tcPr>
            <w:tcW w:type="dxa" w:w="44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Consistently highest traffic day</w:t>
            </w:r>
          </w:p>
        </w:tc>
      </w:tr>
      <w:tr>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Thursday</w:t>
            </w:r>
          </w:p>
        </w:tc>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1,463</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+141 (+10.7%)</w:t>
            </w:r>
          </w:p>
        </w:tc>
        <w:tc>
          <w:tcPr>
            <w:tcW w:type="dxa" w:w="4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Second busiest — steady mid-week peak</w:t>
            </w:r>
          </w:p>
        </w:tc>
      </w:tr>
      <w:tr>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Wednesday</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1,459</w:t>
            </w:r>
          </w:p>
        </w:tc>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+137 (+10.4%)</w:t>
            </w:r>
          </w:p>
        </w:tc>
        <w:tc>
          <w:tcPr>
            <w:tcW w:type="dxa" w:w="44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Strong mid-week pattern</w:t>
            </w:r>
          </w:p>
        </w:tc>
      </w:tr>
      <w:tr>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Saturday</w:t>
            </w:r>
          </w:p>
        </w:tc>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1,441</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+119 (+9.0%)</w:t>
            </w:r>
          </w:p>
        </w:tc>
        <w:tc>
          <w:tcPr>
            <w:tcW w:type="dxa" w:w="4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Weekend peak — expected</w:t>
            </w:r>
          </w:p>
        </w:tc>
      </w:tr>
      <w:tr>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Sunday</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1,411</w:t>
            </w:r>
          </w:p>
        </w:tc>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+89 (+6.7%)</w:t>
            </w:r>
          </w:p>
        </w:tc>
        <w:tc>
          <w:tcPr>
            <w:tcW w:type="dxa" w:w="44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Strong weekend</w:t>
            </w:r>
          </w:p>
        </w:tc>
      </w:tr>
      <w:tr>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Friday</w:t>
            </w:r>
          </w:p>
        </w:tc>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1,405</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+83 (+6.3%)</w:t>
            </w:r>
          </w:p>
        </w:tc>
        <w:tc>
          <w:tcPr>
            <w:tcW w:type="dxa" w:w="4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Pre-weekend pickup</w:t>
            </w:r>
          </w:p>
        </w:tc>
      </w:tr>
      <w:tr>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Monday</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1,322</w:t>
            </w:r>
          </w:p>
        </w:tc>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Baseline</w:t>
            </w:r>
          </w:p>
        </w:tc>
        <w:tc>
          <w:tcPr>
            <w:tcW w:type="dxa" w:w="44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Consistently slowest day</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2A" w:sz="6"/>
              <w:left w:val="single" w:color="E8502A" w:sz="24"/>
              <w:bottom w:val="single" w:color="E8502A" w:sz="6"/>
              <w:right w:val="single" w:color="E8502A" w:sz="6"/>
            </w:tcBorders>
            <w:shd w:fill="FFF3CD" w:val="clear"/>
            <w:tcMar>
              <w:top w:type="dxa" w:w="100"/>
              <w:left w:type="dxa" w:w="200"/>
              <w:bottom w:type="dxa" w:w="100"/>
              <w:right w:type="dxa" w:w="200"/>
            </w:tcMar>
          </w:tcPr>
          <w:p>
            <w:r>
              <w:rPr>
                <w:rFonts w:ascii="Arial" w:cs="Arial" w:eastAsia="Arial" w:hAnsi="Arial"/>
                <w:b/>
                <w:bCs/>
                <w:color w:val="E8502A"/>
                <w:sz w:val="20"/>
                <w:szCs w:val="20"/>
              </w:rPr>
              <w:t xml:space="preserve">💡 Business Impact: </w:t>
            </w:r>
            <w:r>
              <w:rPr>
                <w:rFonts w:ascii="Arial" w:cs="Arial" w:eastAsia="Arial" w:hAnsi="Arial"/>
                <w:color w:val="1A1A1A"/>
                <w:sz w:val="20"/>
                <w:szCs w:val="20"/>
              </w:rPr>
              <w:t xml:space="preserve">Monday consistently has 11% fewer transactions than Tuesday — the weakest day of the week. This represents ~146 missed transactions every Monday, roughly $17,700 in potential weekly revenue gap.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single" w:color="1E7145" w:sz="24"/>
              <w:bottom w:val="single" w:color="1E7145" w:sz="6"/>
              <w:right w:val="single" w:color="1E7145" w:sz="6"/>
            </w:tcBorders>
            <w:shd w:fill="E8F5E9" w:val="clear"/>
            <w:tcMar>
              <w:top w:type="dxa" w:w="100"/>
              <w:left w:type="dxa" w:w="200"/>
              <w:bottom w:type="dxa" w:w="100"/>
              <w:right w:type="dxa" w:w="200"/>
            </w:tcMar>
          </w:tcPr>
          <w:p>
            <w:r>
              <w:rPr>
                <w:rFonts w:ascii="Arial" w:cs="Arial" w:eastAsia="Arial" w:hAnsi="Arial"/>
                <w:b/>
                <w:bCs/>
                <w:color w:val="1E7145"/>
                <w:sz w:val="20"/>
                <w:szCs w:val="20"/>
              </w:rPr>
              <w:t xml:space="preserve">✅ Recommendation: </w:t>
            </w:r>
            <w:r>
              <w:rPr>
                <w:rFonts w:ascii="Arial" w:cs="Arial" w:eastAsia="Arial" w:hAnsi="Arial"/>
                <w:color w:val="1A1A1A"/>
                <w:sz w:val="20"/>
                <w:szCs w:val="20"/>
              </w:rPr>
              <w:t xml:space="preserve">Launch a 'Monday Boost' promotional campaign — branch-specific discounts or loyalty points multiplier on Mondays. If Monday traffic can be raised to Tuesday-level, the potential lift is approximately $920,000 annualized across all 100 branches. Even a 5% lift = ~$46,000 in incremental annual revenue.</w:t>
            </w:r>
          </w:p>
        </w:tc>
      </w:tr>
    </w:tbl>
    <w:p>
      <w:pPr>
        <w:spacing w:after="240"/>
      </w:pPr>
      <w:r>
        <w:t xml:space="preserve"/>
      </w:r>
    </w:p>
    <w:p>
      <w:pPr>
        <w:pStyle w:val="Heading2"/>
        <w:spacing w:after="100" w:before="280"/>
      </w:pPr>
      <w:r>
        <w:rPr>
          <w:rFonts w:ascii="Arial" w:cs="Arial" w:eastAsia="Arial" w:hAnsi="Arial"/>
          <w:b/>
          <w:bCs/>
          <w:color w:val="2E75B6"/>
          <w:sz w:val="24"/>
          <w:szCs w:val="24"/>
        </w:rPr>
        <w:t xml:space="preserve">3.6 Correlation &amp; Relationship Analysis</w:t>
      </w:r>
    </w:p>
    <w:p>
      <w:pPr>
        <w:spacing w:after="120"/>
      </w:pPr>
      <w:r>
        <w:rPr>
          <w:rFonts w:ascii="Arial" w:cs="Arial" w:eastAsia="Arial" w:hAnsi="Arial"/>
          <w:color w:val="595959"/>
          <w:sz w:val="20"/>
          <w:szCs w:val="20"/>
        </w:rPr>
        <w:t xml:space="preserve">Key findings from the correlation heatmap and scatter analysis:</w:t>
      </w:r>
    </w:p>
    <w:p>
      <w:pPr>
        <w:spacing w:after="80"/>
      </w:pPr>
      <w:r>
        <w:t xml:space="preserve"/>
      </w:r>
    </w:p>
    <w:p>
      <w:pPr>
        <w:pStyle w:val="ListParagraph"/>
        <w:numPr>
          <w:ilvl w:val="0"/>
          <w:numId w:val="2"/>
        </w:numPr>
        <w:spacing w:after="80"/>
      </w:pPr>
      <w:r>
        <w:rPr>
          <w:rFonts w:ascii="Arial" w:cs="Arial" w:eastAsia="Arial" w:hAnsi="Arial"/>
          <w:color w:val="595959"/>
          <w:sz w:val="20"/>
          <w:szCs w:val="20"/>
        </w:rPr>
        <w:t xml:space="preserve">unit_price vs. total: Strong positive correlation (as expected). Price is the primary lever for transaction value.</w:t>
      </w:r>
    </w:p>
    <w:p>
      <w:pPr>
        <w:pStyle w:val="ListParagraph"/>
        <w:numPr>
          <w:ilvl w:val="0"/>
          <w:numId w:val="2"/>
        </w:numPr>
        <w:spacing w:after="80"/>
      </w:pPr>
      <w:r>
        <w:rPr>
          <w:rFonts w:ascii="Arial" w:cs="Arial" w:eastAsia="Arial" w:hAnsi="Arial"/>
          <w:color w:val="595959"/>
          <w:sz w:val="20"/>
          <w:szCs w:val="20"/>
        </w:rPr>
        <w:t xml:space="preserve">quantity vs. total: Moderate positive correlation. Increasing items per basket is the secondary revenue lever.</w:t>
      </w:r>
    </w:p>
    <w:p>
      <w:pPr>
        <w:pStyle w:val="ListParagraph"/>
        <w:numPr>
          <w:ilvl w:val="0"/>
          <w:numId w:val="2"/>
        </w:numPr>
        <w:spacing w:after="80"/>
      </w:pPr>
      <w:r>
        <w:rPr>
          <w:rFonts w:ascii="Arial" w:cs="Arial" w:eastAsia="Arial" w:hAnsi="Arial"/>
          <w:color w:val="595959"/>
          <w:sz w:val="20"/>
          <w:szCs w:val="20"/>
        </w:rPr>
        <w:t xml:space="preserve">rating vs. total: Near-zero correlation (r ≈ 0.01). Customer satisfaction has NO meaningful relationship with transaction spend.</w:t>
      </w:r>
    </w:p>
    <w:p>
      <w:pPr>
        <w:pStyle w:val="ListParagraph"/>
        <w:numPr>
          <w:ilvl w:val="0"/>
          <w:numId w:val="2"/>
        </w:numPr>
        <w:spacing w:after="80"/>
      </w:pPr>
      <w:r>
        <w:rPr>
          <w:rFonts w:ascii="Arial" w:cs="Arial" w:eastAsia="Arial" w:hAnsi="Arial"/>
          <w:color w:val="595959"/>
          <w:sz w:val="20"/>
          <w:szCs w:val="20"/>
        </w:rPr>
        <w:t xml:space="preserve">profit_margin varies significantly by category — Fashion and Home have high margins but lower ratings.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2A" w:sz="6"/>
              <w:left w:val="single" w:color="E8502A" w:sz="24"/>
              <w:bottom w:val="single" w:color="E8502A" w:sz="6"/>
              <w:right w:val="single" w:color="E8502A" w:sz="6"/>
            </w:tcBorders>
            <w:shd w:fill="FFF3CD" w:val="clear"/>
            <w:tcMar>
              <w:top w:type="dxa" w:w="100"/>
              <w:left w:type="dxa" w:w="200"/>
              <w:bottom w:type="dxa" w:w="100"/>
              <w:right w:type="dxa" w:w="200"/>
            </w:tcMar>
          </w:tcPr>
          <w:p>
            <w:r>
              <w:rPr>
                <w:rFonts w:ascii="Arial" w:cs="Arial" w:eastAsia="Arial" w:hAnsi="Arial"/>
                <w:b/>
                <w:bCs/>
                <w:color w:val="E8502A"/>
                <w:sz w:val="20"/>
                <w:szCs w:val="20"/>
              </w:rPr>
              <w:t xml:space="preserve">💡 Business Impact: </w:t>
            </w:r>
            <w:r>
              <w:rPr>
                <w:rFonts w:ascii="Arial" w:cs="Arial" w:eastAsia="Arial" w:hAnsi="Arial"/>
                <w:color w:val="1A1A1A"/>
                <w:sz w:val="20"/>
                <w:szCs w:val="20"/>
              </w:rPr>
              <w:t xml:space="preserve">The near-zero correlation between rating and spending means Walmart cannot rely on customer satisfaction alone to drive revenue. Happy customers spend the same as neutral ones. Revenue growth must come from price strategy, basket size, and traffic volume — not just satisfaction improvements.</w:t>
            </w:r>
          </w:p>
        </w:tc>
      </w:tr>
    </w:tbl>
    <w:p>
      <w:pPr>
        <w:spacing w:after="400"/>
      </w:pPr>
      <w:r>
        <w:t xml:space="preserve"/>
      </w:r>
    </w:p>
    <w:p>
      <w:pPr>
        <w:pStyle w:val="Heading1"/>
        <w:pBdr>
          <w:bottom w:val="single" w:color="2E75B6" w:sz="12" w:space="4"/>
        </w:pBdr>
        <w:spacing w:after="160" w:before="400"/>
      </w:pPr>
      <w:r>
        <w:rPr>
          <w:rFonts w:ascii="Arial" w:cs="Arial" w:eastAsia="Arial" w:hAnsi="Arial"/>
          <w:b/>
          <w:bCs/>
          <w:color w:val="1B4F8A"/>
          <w:sz w:val="28"/>
          <w:szCs w:val="28"/>
        </w:rPr>
        <w:t xml:space="preserve">4. SQL BUSINESS QUERIES — INSIGHTS &amp; IMPACT</w:t>
      </w:r>
    </w:p>
    <w:p>
      <w:pPr>
        <w:pStyle w:val="Heading2"/>
        <w:spacing w:after="100" w:before="280"/>
      </w:pPr>
      <w:r>
        <w:rPr>
          <w:rFonts w:ascii="Arial" w:cs="Arial" w:eastAsia="Arial" w:hAnsi="Arial"/>
          <w:b/>
          <w:bCs/>
          <w:color w:val="2E75B6"/>
          <w:sz w:val="24"/>
          <w:szCs w:val="24"/>
        </w:rPr>
        <w:t xml:space="preserve">4.1 PRIMARY FINDING: Branch Revenue Decline (2022 vs. 2023)</w:t>
      </w:r>
    </w:p>
    <w:p>
      <w:pPr>
        <w:spacing w:after="120"/>
      </w:pPr>
      <w:r>
        <w:rPr>
          <w:rFonts w:ascii="Arial" w:cs="Arial" w:eastAsia="Arial" w:hAnsi="Arial"/>
          <w:color w:val="595959"/>
          <w:sz w:val="20"/>
          <w:szCs w:val="20"/>
        </w:rPr>
        <w:t xml:space="preserve">This query — the core business question — identified branches with the highest year-over-year revenue deterioration using CTEs and DENSE_RANK window functions:</w:t>
      </w:r>
    </w:p>
    <w:p>
      <w:pPr>
        <w:spacing w:after="10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200"/>
        <w:gridCol w:w="1800"/>
      </w:tblGrid>
      <w:tr>
        <w:trPr>
          <w:tblHeader/>
        </w:trPr>
        <w:tc>
          <w:tcPr>
            <w:tcW w:type="dxa" w:w="14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Branch</w:t>
            </w:r>
          </w:p>
        </w:tc>
        <w:tc>
          <w:tcPr>
            <w:tcW w:type="dxa" w:w="14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2022 Revenue</w:t>
            </w:r>
          </w:p>
        </w:tc>
        <w:tc>
          <w:tcPr>
            <w:tcW w:type="dxa" w:w="14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2023 Revenue</w:t>
            </w:r>
          </w:p>
        </w:tc>
        <w:tc>
          <w:tcPr>
            <w:tcW w:type="dxa" w:w="14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 Lost</w:t>
            </w:r>
          </w:p>
        </w:tc>
        <w:tc>
          <w:tcPr>
            <w:tcW w:type="dxa" w:w="12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Decline %</w:t>
            </w:r>
          </w:p>
        </w:tc>
        <w:tc>
          <w:tcPr>
            <w:tcW w:type="dxa" w:w="18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WALM045</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$1,731</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$647</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-$1,084</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-62.6%</w:t>
            </w:r>
          </w:p>
        </w:tc>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CRITICAL</w:t>
            </w:r>
          </w:p>
        </w:tc>
      </w:tr>
      <w:tr>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WALM047</w:t>
            </w:r>
          </w:p>
        </w:tc>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$2,581</w:t>
            </w:r>
          </w:p>
        </w:tc>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$1,069</w:t>
            </w:r>
          </w:p>
        </w:tc>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-$1,512</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-58.6%</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CRITICAL</w:t>
            </w:r>
          </w:p>
        </w:tc>
      </w:tr>
      <w:tr>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WALM098</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$2,446</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$1,030</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-$1,416</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-57.9%</w:t>
            </w:r>
          </w:p>
        </w:tc>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CRITICAL</w:t>
            </w:r>
          </w:p>
        </w:tc>
      </w:tr>
      <w:tr>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WALM033</w:t>
            </w:r>
          </w:p>
        </w:tc>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$2,099</w:t>
            </w:r>
          </w:p>
        </w:tc>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$931</w:t>
            </w:r>
          </w:p>
        </w:tc>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-$1,168</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-55.7%</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HIGH</w:t>
            </w:r>
          </w:p>
        </w:tc>
      </w:tr>
      <w:tr>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WALM081</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$1,723</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$850</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-$873</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-50.7%</w:t>
            </w:r>
          </w:p>
        </w:tc>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HIGH</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2A" w:sz="6"/>
              <w:left w:val="single" w:color="E8502A" w:sz="30"/>
              <w:bottom w:val="single" w:color="E8502A" w:sz="6"/>
              <w:right w:val="single" w:color="E8502A" w:sz="6"/>
            </w:tcBorders>
            <w:shd w:fill="FDECEA" w:val="clear"/>
            <w:tcMar>
              <w:top w:type="dxa" w:w="120"/>
              <w:left w:type="dxa" w:w="240"/>
              <w:bottom w:type="dxa" w:w="120"/>
              <w:right w:type="dxa" w:w="240"/>
            </w:tcMar>
          </w:tcPr>
          <w:p>
            <w:r>
              <w:rPr>
                <w:rFonts w:ascii="Arial" w:cs="Arial" w:eastAsia="Arial" w:hAnsi="Arial"/>
                <w:b/>
                <w:bCs/>
                <w:color w:val="E8502A"/>
                <w:sz w:val="20"/>
                <w:szCs w:val="20"/>
              </w:rPr>
              <w:t xml:space="preserve">CRITICAL FINDING: </w:t>
            </w:r>
            <w:r>
              <w:rPr>
                <w:rFonts w:ascii="Arial" w:cs="Arial" w:eastAsia="Arial" w:hAnsi="Arial"/>
                <w:color w:val="1A1A1A"/>
                <w:sz w:val="20"/>
                <w:szCs w:val="20"/>
              </w:rPr>
              <w:t xml:space="preserve">5 branches lost an average of 57.1% of their revenue in just one year. WALM045 lost 62.6% — nearly two-thirds of its business. Total revenue lost across these 5 branches: $6,053. If left unaddressed and extended to more branches, this pattern could represent $60,000+ in systemic risk across the network.</w:t>
            </w:r>
          </w:p>
        </w:tc>
      </w:tr>
    </w:tbl>
    <w:p>
      <w:pPr>
        <w:spacing w:after="120"/>
      </w:pPr>
      <w:r>
        <w:t xml:space="preserve"/>
      </w:r>
    </w:p>
    <w:p>
      <w:pPr>
        <w:spacing w:after="120"/>
      </w:pPr>
      <w:r>
        <w:rPr>
          <w:rFonts w:ascii="Arial" w:cs="Arial" w:eastAsia="Arial" w:hAnsi="Arial"/>
          <w:color w:val="595959"/>
          <w:sz w:val="20"/>
          <w:szCs w:val="20"/>
        </w:rPr>
        <w:t xml:space="preserve">Contrast with the top 5 growing branches — showing the performance gap is widening:</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680"/>
        <w:gridCol w:w="2360"/>
      </w:tblGrid>
      <w:tr>
        <w:trPr>
          <w:tblHeader/>
        </w:trPr>
        <w:tc>
          <w:tcPr>
            <w:tcW w:type="dxa" w:w="14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Branch</w:t>
            </w:r>
          </w:p>
        </w:tc>
        <w:tc>
          <w:tcPr>
            <w:tcW w:type="dxa" w:w="14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2022 Revenue</w:t>
            </w:r>
          </w:p>
        </w:tc>
        <w:tc>
          <w:tcPr>
            <w:tcW w:type="dxa" w:w="14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2023 Revenue</w:t>
            </w:r>
          </w:p>
        </w:tc>
        <w:tc>
          <w:tcPr>
            <w:tcW w:type="dxa" w:w="168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 Gained</w:t>
            </w:r>
          </w:p>
        </w:tc>
        <w:tc>
          <w:tcPr>
            <w:tcW w:type="dxa" w:w="236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Growth %</w:t>
            </w:r>
          </w:p>
        </w:tc>
      </w:tr>
      <w:tr>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WALM006</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$765</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$2,088</w:t>
            </w:r>
          </w:p>
        </w:tc>
        <w:tc>
          <w:tcPr>
            <w:tcW w:type="dxa" w:w="16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+$1,323</w:t>
            </w:r>
          </w:p>
        </w:tc>
        <w:tc>
          <w:tcPr>
            <w:tcW w:type="dxa" w:w="2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+172.9%</w:t>
            </w:r>
          </w:p>
        </w:tc>
      </w:tr>
      <w:tr>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WALM010</w:t>
            </w:r>
          </w:p>
        </w:tc>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$808</w:t>
            </w:r>
          </w:p>
        </w:tc>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$2,114</w:t>
            </w:r>
          </w:p>
        </w:tc>
        <w:tc>
          <w:tcPr>
            <w:tcW w:type="dxa" w:w="1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+$1,306</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+161.6%</w:t>
            </w:r>
          </w:p>
        </w:tc>
      </w:tr>
      <w:tr>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WALM091</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$962</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$2,394</w:t>
            </w:r>
          </w:p>
        </w:tc>
        <w:tc>
          <w:tcPr>
            <w:tcW w:type="dxa" w:w="16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+$1,432</w:t>
            </w:r>
          </w:p>
        </w:tc>
        <w:tc>
          <w:tcPr>
            <w:tcW w:type="dxa" w:w="2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+148.9%</w:t>
            </w:r>
          </w:p>
        </w:tc>
      </w:tr>
      <w:tr>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WALM072</w:t>
            </w:r>
          </w:p>
        </w:tc>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$811</w:t>
            </w:r>
          </w:p>
        </w:tc>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$1,785</w:t>
            </w:r>
          </w:p>
        </w:tc>
        <w:tc>
          <w:tcPr>
            <w:tcW w:type="dxa" w:w="1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+$974</w:t>
            </w:r>
          </w:p>
        </w:tc>
        <w:tc>
          <w:tcPr>
            <w:tcW w:type="dxa" w:w="2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+120.1%</w:t>
            </w:r>
          </w:p>
        </w:tc>
      </w:tr>
      <w:tr>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WALM077</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$862</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$1,884</w:t>
            </w:r>
          </w:p>
        </w:tc>
        <w:tc>
          <w:tcPr>
            <w:tcW w:type="dxa" w:w="16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+$1,022</w:t>
            </w:r>
          </w:p>
        </w:tc>
        <w:tc>
          <w:tcPr>
            <w:tcW w:type="dxa" w:w="2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+118.6%</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single" w:color="1E7145" w:sz="24"/>
              <w:bottom w:val="single" w:color="1E7145" w:sz="6"/>
              <w:right w:val="single" w:color="1E7145" w:sz="6"/>
            </w:tcBorders>
            <w:shd w:fill="E8F5E9" w:val="clear"/>
            <w:tcMar>
              <w:top w:type="dxa" w:w="100"/>
              <w:left w:type="dxa" w:w="200"/>
              <w:bottom w:type="dxa" w:w="100"/>
              <w:right w:type="dxa" w:w="200"/>
            </w:tcMar>
          </w:tcPr>
          <w:p>
            <w:r>
              <w:rPr>
                <w:rFonts w:ascii="Arial" w:cs="Arial" w:eastAsia="Arial" w:hAnsi="Arial"/>
                <w:b/>
                <w:bCs/>
                <w:color w:val="1E7145"/>
                <w:sz w:val="20"/>
                <w:szCs w:val="20"/>
              </w:rPr>
              <w:t xml:space="preserve">✅ Recommendation: </w:t>
            </w:r>
            <w:r>
              <w:rPr>
                <w:rFonts w:ascii="Arial" w:cs="Arial" w:eastAsia="Arial" w:hAnsi="Arial"/>
                <w:color w:val="1A1A1A"/>
                <w:sz w:val="20"/>
                <w:szCs w:val="20"/>
              </w:rPr>
              <w:t xml:space="preserve">Deploy an immediate branch rescue task force for WALM045, WALM047, WALM098, WALM033, and WALM081. Study the playbooks of top-growing branches (WALM006, WALM010, WALM091) and replicate their operational strategies — staffing models, promotional approaches, category mix — at declining branches. Potential revenue recovery: $3,000–$5,000 per branch if decline is halted.</w:t>
            </w:r>
          </w:p>
        </w:tc>
      </w:tr>
    </w:tbl>
    <w:p>
      <w:pPr>
        <w:spacing w:after="240"/>
      </w:pPr>
      <w:r>
        <w:t xml:space="preserve"/>
      </w:r>
    </w:p>
    <w:p>
      <w:pPr>
        <w:pStyle w:val="Heading2"/>
        <w:spacing w:after="100" w:before="280"/>
      </w:pPr>
      <w:r>
        <w:rPr>
          <w:rFonts w:ascii="Arial" w:cs="Arial" w:eastAsia="Arial" w:hAnsi="Arial"/>
          <w:b/>
          <w:bCs/>
          <w:color w:val="2E75B6"/>
          <w:sz w:val="24"/>
          <w:szCs w:val="24"/>
        </w:rPr>
        <w:t xml:space="preserve">4.2 Revenue Concentration — The 80/20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920"/>
        <w:gridCol w:w="2400"/>
        <w:gridCol w:w="2400"/>
      </w:tblGrid>
      <w:tr>
        <w:trPr>
          <w:tblHeader/>
        </w:trPr>
        <w:tc>
          <w:tcPr>
            <w:tcW w:type="dxa" w:w="26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Branch Segment</w:t>
            </w:r>
          </w:p>
        </w:tc>
        <w:tc>
          <w:tcPr>
            <w:tcW w:type="dxa" w:w="192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Branch Count</w:t>
            </w:r>
          </w:p>
        </w:tc>
        <w:tc>
          <w:tcPr>
            <w:tcW w:type="dxa" w:w="24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 Generated</w:t>
            </w:r>
          </w:p>
        </w:tc>
        <w:tc>
          <w:tcPr>
            <w:tcW w:type="dxa" w:w="24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of Total Revenue</w:t>
            </w:r>
          </w:p>
        </w:tc>
      </w:tr>
      <w:tr>
        <w:tc>
          <w:tcPr>
            <w:tcW w:type="dxa" w:w="26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Top 20 branches</w:t>
            </w:r>
          </w:p>
        </w:tc>
        <w:tc>
          <w:tcPr>
            <w:tcW w:type="dxa" w:w="19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20 (20%)</w:t>
            </w:r>
          </w:p>
        </w:tc>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$437,828</w:t>
            </w:r>
          </w:p>
        </w:tc>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36.2%</w:t>
            </w:r>
          </w:p>
        </w:tc>
      </w:tr>
      <w:tr>
        <w:tc>
          <w:tcPr>
            <w:tcW w:type="dxa" w:w="26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Middle 60 branches</w:t>
            </w:r>
          </w:p>
        </w:tc>
        <w:tc>
          <w:tcPr>
            <w:tcW w:type="dxa" w:w="19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60 (60%)</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$626,055</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51.8%</w:t>
            </w:r>
          </w:p>
        </w:tc>
      </w:tr>
      <w:tr>
        <w:tc>
          <w:tcPr>
            <w:tcW w:type="dxa" w:w="26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Bottom 20 branches</w:t>
            </w:r>
          </w:p>
        </w:tc>
        <w:tc>
          <w:tcPr>
            <w:tcW w:type="dxa" w:w="19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20 (20%)</w:t>
            </w:r>
          </w:p>
        </w:tc>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$145,843</w:t>
            </w:r>
          </w:p>
        </w:tc>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12.0%</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2A" w:sz="6"/>
              <w:left w:val="single" w:color="E8502A" w:sz="24"/>
              <w:bottom w:val="single" w:color="E8502A" w:sz="6"/>
              <w:right w:val="single" w:color="E8502A" w:sz="6"/>
            </w:tcBorders>
            <w:shd w:fill="FFF3CD" w:val="clear"/>
            <w:tcMar>
              <w:top w:type="dxa" w:w="100"/>
              <w:left w:type="dxa" w:w="200"/>
              <w:bottom w:type="dxa" w:w="100"/>
              <w:right w:type="dxa" w:w="200"/>
            </w:tcMar>
          </w:tcPr>
          <w:p>
            <w:r>
              <w:rPr>
                <w:rFonts w:ascii="Arial" w:cs="Arial" w:eastAsia="Arial" w:hAnsi="Arial"/>
                <w:b/>
                <w:bCs/>
                <w:color w:val="E8502A"/>
                <w:sz w:val="20"/>
                <w:szCs w:val="20"/>
              </w:rPr>
              <w:t xml:space="preserve">💡 Business Impact: </w:t>
            </w:r>
            <w:r>
              <w:rPr>
                <w:rFonts w:ascii="Arial" w:cs="Arial" w:eastAsia="Arial" w:hAnsi="Arial"/>
                <w:color w:val="1A1A1A"/>
                <w:sz w:val="20"/>
                <w:szCs w:val="20"/>
              </w:rPr>
              <w:t xml:space="preserve">The bottom 20 branches (WALM092 at $5,039 to WALM097 at $7,377) collectively generate only 12% of revenue — less than 1/3 of the top 20's contribution. The worst branch (WALM092: $5,039) generates just 19.6% of the best branch's revenue (WALM009: $25,688).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single" w:color="1E7145" w:sz="24"/>
              <w:bottom w:val="single" w:color="1E7145" w:sz="6"/>
              <w:right w:val="single" w:color="1E7145" w:sz="6"/>
            </w:tcBorders>
            <w:shd w:fill="E8F5E9" w:val="clear"/>
            <w:tcMar>
              <w:top w:type="dxa" w:w="100"/>
              <w:left w:type="dxa" w:w="200"/>
              <w:bottom w:type="dxa" w:w="100"/>
              <w:right w:type="dxa" w:w="200"/>
            </w:tcMar>
          </w:tcPr>
          <w:p>
            <w:r>
              <w:rPr>
                <w:rFonts w:ascii="Arial" w:cs="Arial" w:eastAsia="Arial" w:hAnsi="Arial"/>
                <w:b/>
                <w:bCs/>
                <w:color w:val="1E7145"/>
                <w:sz w:val="20"/>
                <w:szCs w:val="20"/>
              </w:rPr>
              <w:t xml:space="preserve">✅ Recommendation: </w:t>
            </w:r>
            <w:r>
              <w:rPr>
                <w:rFonts w:ascii="Arial" w:cs="Arial" w:eastAsia="Arial" w:hAnsi="Arial"/>
                <w:color w:val="1A1A1A"/>
                <w:sz w:val="20"/>
                <w:szCs w:val="20"/>
              </w:rPr>
              <w:t xml:space="preserve">Conduct a financial viability audit on the bottom 10 branches. For branches with consistent multi-year decline and below-$6,000 annual revenue, evaluate restructuring, merging service areas, or converting to smaller-format stores. Reallocating resources from bottom 5 branches to top-performing ones could yield a 15–20% portfolio efficiency gain.</w:t>
            </w:r>
          </w:p>
        </w:tc>
      </w:tr>
    </w:tbl>
    <w:p>
      <w:pPr>
        <w:spacing w:after="240"/>
      </w:pPr>
      <w:r>
        <w:t xml:space="preserve"/>
      </w:r>
    </w:p>
    <w:p>
      <w:pPr>
        <w:pStyle w:val="Heading2"/>
        <w:spacing w:after="100" w:before="280"/>
      </w:pPr>
      <w:r>
        <w:rPr>
          <w:rFonts w:ascii="Arial" w:cs="Arial" w:eastAsia="Arial" w:hAnsi="Arial"/>
          <w:b/>
          <w:bCs/>
          <w:color w:val="2E75B6"/>
          <w:sz w:val="24"/>
          <w:szCs w:val="24"/>
        </w:rPr>
        <w:t xml:space="preserve">4.3 Payment Method by Branch — Digital Readiness Gap</w:t>
      </w:r>
    </w:p>
    <w:p>
      <w:pPr>
        <w:spacing w:after="120"/>
      </w:pPr>
      <w:r>
        <w:rPr>
          <w:rFonts w:ascii="Arial" w:cs="Arial" w:eastAsia="Arial" w:hAnsi="Arial"/>
          <w:color w:val="595959"/>
          <w:sz w:val="20"/>
          <w:szCs w:val="20"/>
        </w:rPr>
        <w:t xml:space="preserve">Analysis of preferred payment method by branch revealed a critical operational insight: 82 of 100 branches show Ewallet as the preferred method, while 18 branches prefer Credit Card. No branch listed Cash as the preferred method — yet cash drives 21.8% of overall revenue.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2A" w:sz="6"/>
              <w:left w:val="single" w:color="E8502A" w:sz="24"/>
              <w:bottom w:val="single" w:color="E8502A" w:sz="6"/>
              <w:right w:val="single" w:color="E8502A" w:sz="6"/>
            </w:tcBorders>
            <w:shd w:fill="FFF3CD" w:val="clear"/>
            <w:tcMar>
              <w:top w:type="dxa" w:w="100"/>
              <w:left w:type="dxa" w:w="200"/>
              <w:bottom w:type="dxa" w:w="100"/>
              <w:right w:type="dxa" w:w="200"/>
            </w:tcMar>
          </w:tcPr>
          <w:p>
            <w:r>
              <w:rPr>
                <w:rFonts w:ascii="Arial" w:cs="Arial" w:eastAsia="Arial" w:hAnsi="Arial"/>
                <w:b/>
                <w:bCs/>
                <w:color w:val="E8502A"/>
                <w:sz w:val="20"/>
                <w:szCs w:val="20"/>
              </w:rPr>
              <w:t xml:space="preserve">💡 Business Impact: </w:t>
            </w:r>
            <w:r>
              <w:rPr>
                <w:rFonts w:ascii="Arial" w:cs="Arial" w:eastAsia="Arial" w:hAnsi="Arial"/>
                <w:color w:val="1A1A1A"/>
                <w:sz w:val="20"/>
                <w:szCs w:val="20"/>
              </w:rPr>
              <w:t xml:space="preserve">Cash is generating 21.8% of revenue but is not the preferred method at any branch — suggesting cash customers are not being actively served or incentivized. The branches with Credit Card preference (like WALM003, WALM009) tend to also be the highest revenue branches.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single" w:color="1E7145" w:sz="24"/>
              <w:bottom w:val="single" w:color="1E7145" w:sz="6"/>
              <w:right w:val="single" w:color="1E7145" w:sz="6"/>
            </w:tcBorders>
            <w:shd w:fill="E8F5E9" w:val="clear"/>
            <w:tcMar>
              <w:top w:type="dxa" w:w="100"/>
              <w:left w:type="dxa" w:w="200"/>
              <w:bottom w:type="dxa" w:w="100"/>
              <w:right w:type="dxa" w:w="200"/>
            </w:tcMar>
          </w:tcPr>
          <w:p>
            <w:r>
              <w:rPr>
                <w:rFonts w:ascii="Arial" w:cs="Arial" w:eastAsia="Arial" w:hAnsi="Arial"/>
                <w:b/>
                <w:bCs/>
                <w:color w:val="1E7145"/>
                <w:sz w:val="20"/>
                <w:szCs w:val="20"/>
              </w:rPr>
              <w:t xml:space="preserve">✅ Recommendation: </w:t>
            </w:r>
            <w:r>
              <w:rPr>
                <w:rFonts w:ascii="Arial" w:cs="Arial" w:eastAsia="Arial" w:hAnsi="Arial"/>
                <w:color w:val="1A1A1A"/>
                <w:sz w:val="20"/>
                <w:szCs w:val="20"/>
              </w:rPr>
              <w:t xml:space="preserve">Investigate whether the 18 credit-card-preferred branches have better POS infrastructure, more affluent catchment areas, or different customer demographics. Standardize Ewallet acceptance quality across all 100 branches — inconsistent digital payment experience can suppress revenue at branches where digital is dominant.</w:t>
            </w:r>
          </w:p>
        </w:tc>
      </w:tr>
    </w:tbl>
    <w:p>
      <w:pPr>
        <w:spacing w:after="240"/>
      </w:pPr>
      <w:r>
        <w:t xml:space="preserve"/>
      </w:r>
    </w:p>
    <w:p>
      <w:pPr>
        <w:pStyle w:val="Heading2"/>
        <w:spacing w:after="100" w:before="280"/>
      </w:pPr>
      <w:r>
        <w:rPr>
          <w:rFonts w:ascii="Arial" w:cs="Arial" w:eastAsia="Arial" w:hAnsi="Arial"/>
          <w:b/>
          <w:bCs/>
          <w:color w:val="2E75B6"/>
          <w:sz w:val="24"/>
          <w:szCs w:val="24"/>
        </w:rPr>
        <w:t xml:space="preserve">4.4 Highest Rated Category by Branch — Personalization Opportunity</w:t>
      </w:r>
    </w:p>
    <w:p>
      <w:pPr>
        <w:spacing w:after="120"/>
      </w:pPr>
      <w:r>
        <w:rPr>
          <w:rFonts w:ascii="Arial" w:cs="Arial" w:eastAsia="Arial" w:hAnsi="Arial"/>
          <w:color w:val="595959"/>
          <w:sz w:val="20"/>
          <w:szCs w:val="20"/>
        </w:rPr>
        <w:t xml:space="preserve">The SQL analysis revealed that top-rated categories vary significantly by branch and city — Health &amp; Beauty leads in cities like Abilene (avg 9.7), Bedford (8.15), and multiple others, while Food &amp; Beverages leads in Austin (9.3), Alice (7.68), and Angleton (7.7).</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2A" w:sz="6"/>
              <w:left w:val="single" w:color="E8502A" w:sz="24"/>
              <w:bottom w:val="single" w:color="E8502A" w:sz="6"/>
              <w:right w:val="single" w:color="E8502A" w:sz="6"/>
            </w:tcBorders>
            <w:shd w:fill="FFF3CD" w:val="clear"/>
            <w:tcMar>
              <w:top w:type="dxa" w:w="100"/>
              <w:left w:type="dxa" w:w="200"/>
              <w:bottom w:type="dxa" w:w="100"/>
              <w:right w:type="dxa" w:w="200"/>
            </w:tcMar>
          </w:tcPr>
          <w:p>
            <w:r>
              <w:rPr>
                <w:rFonts w:ascii="Arial" w:cs="Arial" w:eastAsia="Arial" w:hAnsi="Arial"/>
                <w:b/>
                <w:bCs/>
                <w:color w:val="E8502A"/>
                <w:sz w:val="20"/>
                <w:szCs w:val="20"/>
              </w:rPr>
              <w:t xml:space="preserve">💡 Business Impact: </w:t>
            </w:r>
            <w:r>
              <w:rPr>
                <w:rFonts w:ascii="Arial" w:cs="Arial" w:eastAsia="Arial" w:hAnsi="Arial"/>
                <w:color w:val="1A1A1A"/>
                <w:sz w:val="20"/>
                <w:szCs w:val="20"/>
              </w:rPr>
              <w:t xml:space="preserve">There is no single 'nationally best' category. Customer satisfaction is hyperlocal — what works in Austin does not work in Amarillo. One-size-fits-all inventory and promotional strategy will systematically underperform.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single" w:color="1E7145" w:sz="24"/>
              <w:bottom w:val="single" w:color="1E7145" w:sz="6"/>
              <w:right w:val="single" w:color="1E7145" w:sz="6"/>
            </w:tcBorders>
            <w:shd w:fill="E8F5E9" w:val="clear"/>
            <w:tcMar>
              <w:top w:type="dxa" w:w="100"/>
              <w:left w:type="dxa" w:w="200"/>
              <w:bottom w:type="dxa" w:w="100"/>
              <w:right w:type="dxa" w:w="200"/>
            </w:tcMar>
          </w:tcPr>
          <w:p>
            <w:r>
              <w:rPr>
                <w:rFonts w:ascii="Arial" w:cs="Arial" w:eastAsia="Arial" w:hAnsi="Arial"/>
                <w:b/>
                <w:bCs/>
                <w:color w:val="1E7145"/>
                <w:sz w:val="20"/>
                <w:szCs w:val="20"/>
              </w:rPr>
              <w:t xml:space="preserve">✅ Recommendation: </w:t>
            </w:r>
            <w:r>
              <w:rPr>
                <w:rFonts w:ascii="Arial" w:cs="Arial" w:eastAsia="Arial" w:hAnsi="Arial"/>
                <w:color w:val="1A1A1A"/>
                <w:sz w:val="20"/>
                <w:szCs w:val="20"/>
              </w:rPr>
              <w:t xml:space="preserve">Implement branch-level category personalization. Allocate 15–20% more shelf space and promotional budget to the locally top-rated category per branch. For Health &amp; Beauty dominant markets (Abilene, Bedford), run targeted wellness promotions. For Food &amp; Beverage dominant markets (Austin, Alice), emphasize freshness and variety.</w:t>
            </w:r>
          </w:p>
        </w:tc>
      </w:tr>
    </w:tbl>
    <w:p>
      <w:pPr>
        <w:spacing w:after="240"/>
      </w:pPr>
      <w:r>
        <w:t xml:space="preserve"/>
      </w:r>
    </w:p>
    <w:p>
      <w:pPr>
        <w:pStyle w:val="Heading2"/>
        <w:spacing w:after="100" w:before="280"/>
      </w:pPr>
      <w:r>
        <w:rPr>
          <w:rFonts w:ascii="Arial" w:cs="Arial" w:eastAsia="Arial" w:hAnsi="Arial"/>
          <w:b/>
          <w:bCs/>
          <w:color w:val="2E75B6"/>
          <w:sz w:val="24"/>
          <w:szCs w:val="24"/>
        </w:rPr>
        <w:t xml:space="preserve">4.5 Profit by Category — True Business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1600"/>
        <w:gridCol w:w="1600"/>
        <w:gridCol w:w="1680"/>
        <w:gridCol w:w="2000"/>
      </w:tblGrid>
      <w:tr>
        <w:trPr>
          <w:tblHeader/>
        </w:trPr>
        <w:tc>
          <w:tcPr>
            <w:tcW w:type="dxa" w:w="248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16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Revenue</w:t>
            </w:r>
          </w:p>
        </w:tc>
        <w:tc>
          <w:tcPr>
            <w:tcW w:type="dxa" w:w="16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Profit</w:t>
            </w:r>
          </w:p>
        </w:tc>
        <w:tc>
          <w:tcPr>
            <w:tcW w:type="dxa" w:w="168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Profit Margin %</w:t>
            </w:r>
          </w:p>
        </w:tc>
        <w:tc>
          <w:tcPr>
            <w:tcW w:type="dxa" w:w="20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Profit Rank</w:t>
            </w:r>
          </w:p>
        </w:tc>
      </w:tr>
      <w:tr>
        <w:tc>
          <w:tcPr>
            <w:tcW w:type="dxa" w:w="24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Fashion Accessories</w:t>
            </w:r>
          </w:p>
        </w:tc>
        <w:tc>
          <w:tcPr>
            <w:tcW w:type="dxa" w:w="1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$489,481</w:t>
            </w:r>
          </w:p>
        </w:tc>
        <w:tc>
          <w:tcPr>
            <w:tcW w:type="dxa" w:w="1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$192,315</w:t>
            </w:r>
          </w:p>
        </w:tc>
        <w:tc>
          <w:tcPr>
            <w:tcW w:type="dxa" w:w="16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39.3%</w:t>
            </w:r>
          </w:p>
        </w:tc>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#1</w:t>
            </w:r>
          </w:p>
        </w:tc>
      </w:tr>
      <w:tr>
        <w:tc>
          <w:tcPr>
            <w:tcW w:type="dxa" w:w="2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Home and Lifestyle</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$489,250</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$192,214</w:t>
            </w:r>
          </w:p>
        </w:tc>
        <w:tc>
          <w:tcPr>
            <w:tcW w:type="dxa" w:w="1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39.3%</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w:t>
            </w:r>
          </w:p>
        </w:tc>
      </w:tr>
      <w:tr>
        <w:tc>
          <w:tcPr>
            <w:tcW w:type="dxa" w:w="24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Electronic Accessories</w:t>
            </w:r>
          </w:p>
        </w:tc>
        <w:tc>
          <w:tcPr>
            <w:tcW w:type="dxa" w:w="1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$78,175</w:t>
            </w:r>
          </w:p>
        </w:tc>
        <w:tc>
          <w:tcPr>
            <w:tcW w:type="dxa" w:w="1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$30,772</w:t>
            </w:r>
          </w:p>
        </w:tc>
        <w:tc>
          <w:tcPr>
            <w:tcW w:type="dxa" w:w="16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39.4%</w:t>
            </w:r>
          </w:p>
        </w:tc>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#3</w:t>
            </w:r>
          </w:p>
        </w:tc>
      </w:tr>
      <w:tr>
        <w:tc>
          <w:tcPr>
            <w:tcW w:type="dxa" w:w="2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Food &amp; Beverages</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$53,471</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$21,553</w:t>
            </w:r>
          </w:p>
        </w:tc>
        <w:tc>
          <w:tcPr>
            <w:tcW w:type="dxa" w:w="1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40.3%</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#4</w:t>
            </w:r>
          </w:p>
        </w:tc>
      </w:tr>
      <w:tr>
        <w:tc>
          <w:tcPr>
            <w:tcW w:type="dxa" w:w="24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Sports &amp; Travel</w:t>
            </w:r>
          </w:p>
        </w:tc>
        <w:tc>
          <w:tcPr>
            <w:tcW w:type="dxa" w:w="1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$52,498</w:t>
            </w:r>
          </w:p>
        </w:tc>
        <w:tc>
          <w:tcPr>
            <w:tcW w:type="dxa" w:w="1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$20,614</w:t>
            </w:r>
          </w:p>
        </w:tc>
        <w:tc>
          <w:tcPr>
            <w:tcW w:type="dxa" w:w="16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39.3%</w:t>
            </w:r>
          </w:p>
        </w:tc>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#5</w:t>
            </w:r>
          </w:p>
        </w:tc>
      </w:tr>
      <w:tr>
        <w:tc>
          <w:tcPr>
            <w:tcW w:type="dxa" w:w="2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Health &amp; Beauty</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$46,851</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$18,672</w:t>
            </w:r>
          </w:p>
        </w:tc>
        <w:tc>
          <w:tcPr>
            <w:tcW w:type="dxa" w:w="1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39.9%</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#6</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2A" w:sz="6"/>
              <w:left w:val="single" w:color="E8502A" w:sz="24"/>
              <w:bottom w:val="single" w:color="E8502A" w:sz="6"/>
              <w:right w:val="single" w:color="E8502A" w:sz="6"/>
            </w:tcBorders>
            <w:shd w:fill="FFF3CD" w:val="clear"/>
            <w:tcMar>
              <w:top w:type="dxa" w:w="100"/>
              <w:left w:type="dxa" w:w="200"/>
              <w:bottom w:type="dxa" w:w="100"/>
              <w:right w:type="dxa" w:w="200"/>
            </w:tcMar>
          </w:tcPr>
          <w:p>
            <w:r>
              <w:rPr>
                <w:rFonts w:ascii="Arial" w:cs="Arial" w:eastAsia="Arial" w:hAnsi="Arial"/>
                <w:b/>
                <w:bCs/>
                <w:color w:val="E8502A"/>
                <w:sz w:val="20"/>
                <w:szCs w:val="20"/>
              </w:rPr>
              <w:t xml:space="preserve">💡 Business Impact: </w:t>
            </w:r>
            <w:r>
              <w:rPr>
                <w:rFonts w:ascii="Arial" w:cs="Arial" w:eastAsia="Arial" w:hAnsi="Arial"/>
                <w:color w:val="1A1A1A"/>
                <w:sz w:val="20"/>
                <w:szCs w:val="20"/>
              </w:rPr>
              <w:t xml:space="preserve">Profit margins are nearly identical across all categories (39.3%–40.3%). This means revenue growth = profit growth almost proportionally. There is no 'hidden high-margin' category to pivot toward — the path to profit is purely revenue growth and cost management, not category switching.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single" w:color="1E7145" w:sz="24"/>
              <w:bottom w:val="single" w:color="1E7145" w:sz="6"/>
              <w:right w:val="single" w:color="1E7145" w:sz="6"/>
            </w:tcBorders>
            <w:shd w:fill="E8F5E9" w:val="clear"/>
            <w:tcMar>
              <w:top w:type="dxa" w:w="100"/>
              <w:left w:type="dxa" w:w="200"/>
              <w:bottom w:type="dxa" w:w="100"/>
              <w:right w:type="dxa" w:w="200"/>
            </w:tcMar>
          </w:tcPr>
          <w:p>
            <w:r>
              <w:rPr>
                <w:rFonts w:ascii="Arial" w:cs="Arial" w:eastAsia="Arial" w:hAnsi="Arial"/>
                <w:b/>
                <w:bCs/>
                <w:color w:val="1E7145"/>
                <w:sz w:val="20"/>
                <w:szCs w:val="20"/>
              </w:rPr>
              <w:t xml:space="preserve">✅ Recommendation: </w:t>
            </w:r>
            <w:r>
              <w:rPr>
                <w:rFonts w:ascii="Arial" w:cs="Arial" w:eastAsia="Arial" w:hAnsi="Arial"/>
                <w:color w:val="1A1A1A"/>
                <w:sz w:val="20"/>
                <w:szCs w:val="20"/>
              </w:rPr>
              <w:t xml:space="preserve">Since margins are uniform, focus revenue efforts where volume is highest (Fashion and Home). However, Food &amp; Beverages has the highest margin (40.3%) AND the highest customer satisfaction (7.11) — making it the ideal category for aggressive growth investment. Doubling Food &amp; Beverages revenue from $53K to $106K would add $21.5K in profit at minimal incremental cost.</w:t>
            </w:r>
          </w:p>
        </w:tc>
      </w:tr>
    </w:tbl>
    <w:p>
      <w:pPr>
        <w:spacing w:after="400"/>
      </w:pPr>
      <w:r>
        <w:t xml:space="preserve"/>
      </w:r>
    </w:p>
    <w:p>
      <w:pPr>
        <w:pStyle w:val="Heading1"/>
        <w:pBdr>
          <w:bottom w:val="single" w:color="2E75B6" w:sz="12" w:space="4"/>
        </w:pBdr>
        <w:spacing w:after="160" w:before="400"/>
      </w:pPr>
      <w:r>
        <w:rPr>
          <w:rFonts w:ascii="Arial" w:cs="Arial" w:eastAsia="Arial" w:hAnsi="Arial"/>
          <w:b/>
          <w:bCs/>
          <w:color w:val="1B4F8A"/>
          <w:sz w:val="28"/>
          <w:szCs w:val="28"/>
        </w:rPr>
        <w:t xml:space="preserve">5. CONSOLIDATED BUSINESS RECOMMENDATIONS</w:t>
      </w:r>
    </w:p>
    <w:p>
      <w:pPr>
        <w:spacing w:after="120"/>
      </w:pPr>
      <w:r>
        <w:rPr>
          <w:rFonts w:ascii="Arial" w:cs="Arial" w:eastAsia="Arial" w:hAnsi="Arial"/>
          <w:color w:val="595959"/>
          <w:sz w:val="20"/>
          <w:szCs w:val="20"/>
        </w:rPr>
        <w:t xml:space="preserve">The following 6 recommendations are prioritized by estimated revenue impact and implementation feasibility: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1440"/>
        <w:gridCol w:w="1800"/>
        <w:gridCol w:w="1680"/>
      </w:tblGrid>
      <w:tr>
        <w:trPr>
          <w:tblHeader/>
        </w:trPr>
        <w:tc>
          <w:tcPr>
            <w:tcW w:type="dxa" w:w="14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30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Recommendation</w:t>
            </w:r>
          </w:p>
        </w:tc>
        <w:tc>
          <w:tcPr>
            <w:tcW w:type="dxa" w:w="14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w:t>
            </w:r>
          </w:p>
        </w:tc>
        <w:tc>
          <w:tcPr>
            <w:tcW w:type="dxa" w:w="18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 Revenue Impact</w:t>
            </w:r>
          </w:p>
        </w:tc>
        <w:tc>
          <w:tcPr>
            <w:tcW w:type="dxa" w:w="168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r>
      <w:tr>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#1 — CRITICAL</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Branch Rescue Program for top 5 declining branches (WALM045, 047, 098, 033, 081)</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Stop -57% avg decline</w:t>
            </w:r>
          </w:p>
        </w:tc>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$5,000–$6,000 recovery/yr</w:t>
            </w:r>
          </w:p>
        </w:tc>
        <w:tc>
          <w:tcPr>
            <w:tcW w:type="dxa" w:w="16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Immediate (30 days)</w:t>
            </w:r>
          </w:p>
        </w:tc>
      </w:tr>
      <w:tr>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#2 — HIGH</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VIP Loyalty Program for top 10% spenders (txn ≥$222)</w:t>
            </w:r>
          </w:p>
        </w:tc>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Retain high-value segment</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+$37K–$55K annually</w:t>
            </w:r>
          </w:p>
        </w:tc>
        <w:tc>
          <w:tcPr>
            <w:tcW w:type="dxa" w:w="1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60–90 days</w:t>
            </w:r>
          </w:p>
        </w:tc>
      </w:tr>
      <w:tr>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#3 — HIGH</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Category quality audit for Fashion Accessories and Home &amp; Lifestyle (rating 5.74–5.78)</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Raise ratings to 6.5+</w:t>
            </w:r>
          </w:p>
        </w:tc>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Protect $978K revenue base</w:t>
            </w:r>
          </w:p>
        </w:tc>
        <w:tc>
          <w:tcPr>
            <w:tcW w:type="dxa" w:w="16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60 days</w:t>
            </w:r>
          </w:p>
        </w:tc>
      </w:tr>
      <w:tr>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#4 — MEDIUM</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Monday Traffic Campaign — promotions &amp; loyalty multipliers</w:t>
            </w:r>
          </w:p>
        </w:tc>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Close 11% Monday gap</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+$46K annually (5% lift)</w:t>
            </w:r>
          </w:p>
        </w:tc>
        <w:tc>
          <w:tcPr>
            <w:tcW w:type="dxa" w:w="1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30 days</w:t>
            </w:r>
          </w:p>
        </w:tc>
      </w:tr>
      <w:tr>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#5 — MEDIUM</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Peak-hour staffing optimization (3PM–5PM) and Evening promotions (6PM–8PM)</w:t>
            </w:r>
          </w:p>
        </w:tc>
        <w:tc>
          <w:tcPr>
            <w:tcW w:type="dxa" w:w="14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Maximize 47.8% afternoon share</w:t>
            </w:r>
          </w:p>
        </w:tc>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+$25K–$40K annually</w:t>
            </w:r>
          </w:p>
        </w:tc>
        <w:tc>
          <w:tcPr>
            <w:tcW w:type="dxa" w:w="168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45 days</w:t>
            </w:r>
          </w:p>
        </w:tc>
      </w:tr>
      <w:tr>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#6 — LONG-TERM</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Branch-level category personalization — allocate inventory by locally top-rated category</w:t>
            </w:r>
          </w:p>
        </w:tc>
        <w:tc>
          <w:tcPr>
            <w:tcW w:type="dxa" w:w="14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Improve rating + revenue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+5–10% branch revenue</w:t>
            </w:r>
          </w:p>
        </w:tc>
        <w:tc>
          <w:tcPr>
            <w:tcW w:type="dxa" w:w="1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90–180 days</w:t>
            </w:r>
          </w:p>
        </w:tc>
      </w:tr>
    </w:tbl>
    <w:p>
      <w:pPr>
        <w:spacing w:after="400"/>
      </w:pPr>
      <w:r>
        <w:t xml:space="preserve"/>
      </w:r>
    </w:p>
    <w:p>
      <w:pPr>
        <w:pStyle w:val="Heading1"/>
        <w:pBdr>
          <w:bottom w:val="single" w:color="2E75B6" w:sz="12" w:space="4"/>
        </w:pBdr>
        <w:spacing w:after="160" w:before="400"/>
      </w:pPr>
      <w:r>
        <w:rPr>
          <w:rFonts w:ascii="Arial" w:cs="Arial" w:eastAsia="Arial" w:hAnsi="Arial"/>
          <w:b/>
          <w:bCs/>
          <w:color w:val="1B4F8A"/>
          <w:sz w:val="28"/>
          <w:szCs w:val="28"/>
        </w:rPr>
        <w:t xml:space="preserve">6. ANALYTICAL CONCEPTS &amp; TECHNIQUES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240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Concept / Tool</w:t>
            </w:r>
          </w:p>
        </w:tc>
        <w:tc>
          <w:tcPr>
            <w:tcW w:type="dxa" w:w="516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Where Applied</w:t>
            </w:r>
          </w:p>
        </w:tc>
      </w:tr>
      <w:tr>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Data Pipeline</w:t>
            </w:r>
          </w:p>
        </w:tc>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End-to-end ETL (Extract, Transform, Load)</w:t>
            </w:r>
          </w:p>
        </w:tc>
        <w:tc>
          <w:tcPr>
            <w:tcW w:type="dxa" w:w="51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CSV → Python cleaning → MySQL database</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Data Cleaning</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Duplicate detection &amp; removal, null handling, type casting</w:t>
            </w:r>
          </w:p>
        </w:tc>
        <w:tc>
          <w:tcPr>
            <w:tcW w:type="dxa" w:w="5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82 duplicates removed; $-string fixed; datetime parsed</w:t>
            </w:r>
          </w:p>
        </w:tc>
      </w:tr>
      <w:tr>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Feature Engineering</w:t>
            </w:r>
          </w:p>
        </w:tc>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Derived column creation from raw fields</w:t>
            </w:r>
          </w:p>
        </w:tc>
        <w:tc>
          <w:tcPr>
            <w:tcW w:type="dxa" w:w="51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total, month, hour, shift, year, profit</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Statistical Analysis</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Descriptive stats, skewness, IQR, outlier detection</w:t>
            </w:r>
          </w:p>
        </w:tc>
        <w:tc>
          <w:tcPr>
            <w:tcW w:type="dxa" w:w="5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Transaction value distribution; boxplot analysis</w:t>
            </w:r>
          </w:p>
        </w:tc>
      </w:tr>
      <w:tr>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Univariate Analysis</w:t>
            </w:r>
          </w:p>
        </w:tc>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Distribution analysis of single variables</w:t>
            </w:r>
          </w:p>
        </w:tc>
        <w:tc>
          <w:tcPr>
            <w:tcW w:type="dxa" w:w="51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Countplot, histplot, boxplot per column</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Bivariate Analysis</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Relationship between two variables</w:t>
            </w:r>
          </w:p>
        </w:tc>
        <w:tc>
          <w:tcPr>
            <w:tcW w:type="dxa" w:w="5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Category vs. revenue; rating vs. total; payment vs. revenue</w:t>
            </w:r>
          </w:p>
        </w:tc>
      </w:tr>
      <w:tr>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Correlation Analysis</w:t>
            </w:r>
          </w:p>
        </w:tc>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Pearson correlation matrix + heatmap</w:t>
            </w:r>
          </w:p>
        </w:tc>
        <w:tc>
          <w:tcPr>
            <w:tcW w:type="dxa" w:w="51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Identified near-zero rating-spend correlation</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Outlier Detection</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IQR method + boxplots</w:t>
            </w:r>
          </w:p>
        </w:tc>
        <w:tc>
          <w:tcPr>
            <w:tcW w:type="dxa" w:w="5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Found 401 high-value outlier transactions</w:t>
            </w:r>
          </w:p>
        </w:tc>
      </w:tr>
      <w:tr>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SQL CTEs</w:t>
            </w:r>
          </w:p>
        </w:tc>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WITH clause for modular multi-step queries</w:t>
            </w:r>
          </w:p>
        </w:tc>
        <w:tc>
          <w:tcPr>
            <w:tcW w:type="dxa" w:w="51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All 8 SQL business queries</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SQL Window Functions</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RANK(), DENSE_RANK() with PARTITION BY</w:t>
            </w:r>
          </w:p>
        </w:tc>
        <w:tc>
          <w:tcPr>
            <w:tcW w:type="dxa" w:w="5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Busiest day per branch; YoY revenue ranking</w:t>
            </w:r>
          </w:p>
        </w:tc>
      </w:tr>
      <w:tr>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SQL Self-Join</w:t>
            </w:r>
          </w:p>
        </w:tc>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Joining same table on different year values</w:t>
            </w:r>
          </w:p>
        </w:tc>
        <w:tc>
          <w:tcPr>
            <w:tcW w:type="dxa" w:w="51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YoY revenue comparison for 2022 vs. 2023</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SQL CASE WHEN</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Conditional logic for categorical derivation</w:t>
            </w:r>
          </w:p>
        </w:tc>
        <w:tc>
          <w:tcPr>
            <w:tcW w:type="dxa" w:w="5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Shift classification (morning/afternoon/evening)</w:t>
            </w:r>
          </w:p>
        </w:tc>
      </w:tr>
      <w:tr>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Arial" w:cs="Arial" w:eastAsia="Arial" w:hAnsi="Arial"/>
                <w:color w:val="1A1A1A"/>
                <w:sz w:val="18"/>
                <w:szCs w:val="18"/>
              </w:rPr>
              <w:t xml:space="preserve">Python-to-SQL Integration</w:t>
            </w:r>
          </w:p>
        </w:tc>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SQLAlchemy ORM engine for database loading</w:t>
            </w:r>
          </w:p>
        </w:tc>
        <w:tc>
          <w:tcPr>
            <w:tcW w:type="dxa" w:w="51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Arial" w:cs="Arial" w:eastAsia="Arial" w:hAnsi="Arial"/>
                <w:color w:val="1A1A1A"/>
                <w:sz w:val="18"/>
                <w:szCs w:val="18"/>
              </w:rPr>
              <w:t xml:space="preserve">Pushed cleaned DataFrame into MySQL</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Data Visualization</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Seaborn + Matplotlib for EDA charts</w:t>
            </w:r>
          </w:p>
        </w:tc>
        <w:tc>
          <w:tcPr>
            <w:tcW w:type="dxa" w:w="5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8+ chart types including heatmap, pairplot, scatter</w:t>
            </w:r>
          </w:p>
        </w:tc>
      </w:tr>
    </w:tbl>
    <w:p>
      <w:pPr>
        <w:spacing w:after="400"/>
      </w:pPr>
      <w:r>
        <w:t xml:space="preserve"/>
      </w:r>
    </w:p>
    <w:p>
      <w:pPr>
        <w:pStyle w:val="Heading1"/>
        <w:pBdr>
          <w:bottom w:val="single" w:color="2E75B6" w:sz="12" w:space="4"/>
        </w:pBdr>
        <w:spacing w:after="160" w:before="400"/>
      </w:pPr>
      <w:r>
        <w:rPr>
          <w:rFonts w:ascii="Arial" w:cs="Arial" w:eastAsia="Arial" w:hAnsi="Arial"/>
          <w:b/>
          <w:bCs/>
          <w:color w:val="1B4F8A"/>
          <w:sz w:val="28"/>
          <w:szCs w:val="28"/>
        </w:rPr>
        <w:t xml:space="preserve">7. CONCLUSION</w:t>
      </w:r>
    </w:p>
    <w:p>
      <w:pPr>
        <w:spacing w:after="120"/>
      </w:pPr>
      <w:r>
        <w:rPr>
          <w:rFonts w:ascii="Arial" w:cs="Arial" w:eastAsia="Arial" w:hAnsi="Arial"/>
          <w:color w:val="595959"/>
          <w:sz w:val="20"/>
          <w:szCs w:val="20"/>
        </w:rPr>
        <w:t xml:space="preserve">This analysis successfully identified and quantified the primary business problem: five Walmart branches are experiencing 50–62% year-over-year revenue collapse, while five other branches are growing at 120–173%. The performance gap is widening — and without intervention, the declining branches risk becoming financially unviable.</w:t>
      </w:r>
    </w:p>
    <w:p>
      <w:pPr>
        <w:spacing w:after="100"/>
      </w:pPr>
      <w:r>
        <w:t xml:space="preserve"/>
      </w:r>
    </w:p>
    <w:p>
      <w:pPr>
        <w:spacing w:after="120"/>
      </w:pPr>
      <w:r>
        <w:rPr>
          <w:rFonts w:ascii="Arial" w:cs="Arial" w:eastAsia="Arial" w:hAnsi="Arial"/>
          <w:color w:val="595959"/>
          <w:sz w:val="20"/>
          <w:szCs w:val="20"/>
        </w:rPr>
        <w:t xml:space="preserve">Beyond the primary finding, the analysis surfaced six actionable opportunities — from protecting the $978K revenue base concentrated in two underperforming-in-satisfaction categories, to capitalizing on the high-value customer segment that drives 30.8% of revenue from just 10% of transactions.</w:t>
      </w:r>
    </w:p>
    <w:p>
      <w:pPr>
        <w:spacing w:after="100"/>
      </w:pPr>
      <w:r>
        <w:t xml:space="preserve"/>
      </w:r>
    </w:p>
    <w:p>
      <w:pPr>
        <w:spacing w:after="120"/>
      </w:pPr>
      <w:r>
        <w:rPr>
          <w:rFonts w:ascii="Arial" w:cs="Arial" w:eastAsia="Arial" w:hAnsi="Arial"/>
          <w:color w:val="595959"/>
          <w:sz w:val="20"/>
          <w:szCs w:val="20"/>
        </w:rPr>
        <w:t xml:space="preserve">The end-to-end approach — from raw CSV through Python EDA to MySQL analytics — demonstrates a complete data analyst workflow: data ingestion, quality validation, feature engineering, exploratory analysis, statistical testing, and SQL-driven business intelligence.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6"/>
              <w:left w:val="single" w:color="1B4F8A" w:sz="6"/>
              <w:bottom w:val="single" w:color="1B4F8A" w:sz="6"/>
              <w:right w:val="single" w:color="1B4F8A" w:sz="6"/>
            </w:tcBorders>
            <w:shd w:fill="1B4F8A" w:val="clear"/>
            <w:tcMar>
              <w:top w:type="dxa" w:w="200"/>
              <w:left w:type="dxa" w:w="400"/>
              <w:bottom w:type="dxa" w:w="200"/>
              <w:right w:type="dxa" w:w="400"/>
            </w:tcMar>
          </w:tcPr>
          <w:p>
            <w:pPr>
              <w:jc w:val="center"/>
            </w:pPr>
            <w:r>
              <w:rPr>
                <w:rFonts w:ascii="Arial" w:cs="Arial" w:eastAsia="Arial" w:hAnsi="Arial"/>
                <w:color w:val="A8C4E5"/>
                <w:sz w:val="20"/>
                <w:szCs w:val="20"/>
              </w:rPr>
              <w:t xml:space="preserve">If all 6 business recommendations are implemented,</w:t>
            </w:r>
          </w:p>
          <w:p>
            <w:pPr>
              <w:jc w:val="center"/>
            </w:pPr>
            <w:r>
              <w:rPr>
                <w:rFonts w:ascii="Arial" w:cs="Arial" w:eastAsia="Arial" w:hAnsi="Arial"/>
                <w:color w:val="A8C4E5"/>
                <w:sz w:val="20"/>
                <w:szCs w:val="20"/>
              </w:rPr>
              <w:t xml:space="preserve">estimated annual revenue uplift potential:</w:t>
            </w:r>
          </w:p>
          <w:p>
            <w:pPr>
              <w:spacing w:after="80" w:before="80"/>
              <w:jc w:val="center"/>
            </w:pPr>
            <w:r>
              <w:rPr>
                <w:rFonts w:ascii="Arial" w:cs="Arial" w:eastAsia="Arial" w:hAnsi="Arial"/>
                <w:b/>
                <w:bCs/>
                <w:color w:val="FFD966"/>
                <w:sz w:val="48"/>
                <w:szCs w:val="48"/>
              </w:rPr>
              <w:t xml:space="preserve">$150,000 – $220,000+</w:t>
            </w:r>
          </w:p>
          <w:p>
            <w:pPr>
              <w:jc w:val="center"/>
            </w:pPr>
            <w:r>
              <w:rPr>
                <w:rFonts w:ascii="Arial" w:cs="Arial" w:eastAsia="Arial" w:hAnsi="Arial"/>
                <w:i/>
                <w:iCs/>
                <w:color w:val="C8DCF0"/>
                <w:sz w:val="20"/>
                <w:szCs w:val="20"/>
              </w:rPr>
              <w:t xml:space="preserve">on a $1.21M revenue base — a 12–18% portfolio performance improvement</w:t>
            </w:r>
          </w:p>
        </w:tc>
      </w:tr>
    </w:tbl>
    <w:p>
      <w:pPr>
        <w:spacing w:after="20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595959"/>
        <w:sz w:val="16"/>
        <w:szCs w:val="16"/>
      </w:rPr>
      <w:t xml:space="preserve">Walmart Sales Analysis  |  Confidential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F8A"/>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2026-05-17T10:36:40.888Z</dcterms:created>
  <dcterms:modified xsi:type="dcterms:W3CDTF">2026-05-17T10:36:40.889Z</dcterms:modified>
</cp:coreProperties>
</file>

<file path=docProps/custom.xml><?xml version="1.0" encoding="utf-8"?>
<Properties xmlns="http://schemas.openxmlformats.org/officeDocument/2006/custom-properties" xmlns:vt="http://schemas.openxmlformats.org/officeDocument/2006/docPropsVTypes"/>
</file>